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62AA" w14:textId="77777777" w:rsidR="00EB7015" w:rsidRDefault="00EB7015" w:rsidP="00EB7015">
      <w:pPr>
        <w:spacing w:before="245"/>
        <w:ind w:right="16"/>
        <w:jc w:val="center"/>
        <w:rPr>
          <w:b/>
          <w:sz w:val="24"/>
        </w:rPr>
      </w:pPr>
      <w:r>
        <w:rPr>
          <w:b/>
          <w:sz w:val="24"/>
          <w:u w:val="single"/>
        </w:rPr>
        <w:t>ARTICLE</w:t>
      </w:r>
      <w:r>
        <w:rPr>
          <w:b/>
          <w:spacing w:val="-1"/>
          <w:sz w:val="24"/>
          <w:u w:val="single"/>
        </w:rPr>
        <w:t xml:space="preserve"> </w:t>
      </w:r>
      <w:r>
        <w:rPr>
          <w:b/>
          <w:spacing w:val="-4"/>
          <w:sz w:val="24"/>
          <w:u w:val="single"/>
        </w:rPr>
        <w:t>XVIII</w:t>
      </w:r>
    </w:p>
    <w:p w14:paraId="4920E19C" w14:textId="77777777" w:rsidR="00EB7015" w:rsidRDefault="00EB7015" w:rsidP="00EB7015">
      <w:pPr>
        <w:pStyle w:val="BodyText"/>
        <w:spacing w:before="0"/>
        <w:ind w:left="0"/>
        <w:rPr>
          <w:b/>
        </w:rPr>
      </w:pPr>
    </w:p>
    <w:p w14:paraId="0D7BECF3" w14:textId="77777777" w:rsidR="00EB7015" w:rsidRDefault="00EB7015" w:rsidP="00EB7015">
      <w:pPr>
        <w:ind w:right="16"/>
        <w:jc w:val="center"/>
        <w:rPr>
          <w:b/>
          <w:sz w:val="24"/>
        </w:rPr>
      </w:pPr>
      <w:r>
        <w:rPr>
          <w:b/>
          <w:spacing w:val="-2"/>
          <w:sz w:val="24"/>
          <w:u w:val="single"/>
        </w:rPr>
        <w:t>EVALUATION</w:t>
      </w:r>
    </w:p>
    <w:p w14:paraId="663DE07F" w14:textId="77777777" w:rsidR="00EB7015" w:rsidRDefault="00EB7015" w:rsidP="00EB7015">
      <w:pPr>
        <w:pStyle w:val="ListParagraph"/>
        <w:numPr>
          <w:ilvl w:val="0"/>
          <w:numId w:val="25"/>
        </w:numPr>
        <w:tabs>
          <w:tab w:val="left" w:pos="1540"/>
        </w:tabs>
        <w:spacing w:before="47" w:line="516" w:lineRule="exact"/>
        <w:ind w:right="611" w:firstLine="0"/>
        <w:rPr>
          <w:sz w:val="24"/>
        </w:rPr>
      </w:pPr>
      <w:r>
        <w:rPr>
          <w:sz w:val="24"/>
          <w:u w:val="single"/>
        </w:rPr>
        <w:t>Evaluation</w:t>
      </w:r>
      <w:r>
        <w:rPr>
          <w:spacing w:val="-6"/>
          <w:sz w:val="24"/>
          <w:u w:val="single"/>
        </w:rPr>
        <w:t xml:space="preserve"> </w:t>
      </w:r>
      <w:r>
        <w:rPr>
          <w:sz w:val="24"/>
          <w:u w:val="single"/>
        </w:rPr>
        <w:t>Procedures</w:t>
      </w:r>
      <w:r>
        <w:rPr>
          <w:spacing w:val="-6"/>
          <w:sz w:val="24"/>
          <w:u w:val="single"/>
        </w:rPr>
        <w:t xml:space="preserve"> </w:t>
      </w:r>
      <w:r>
        <w:rPr>
          <w:sz w:val="24"/>
          <w:u w:val="single"/>
        </w:rPr>
        <w:t>for</w:t>
      </w:r>
      <w:r>
        <w:rPr>
          <w:spacing w:val="-6"/>
          <w:sz w:val="24"/>
          <w:u w:val="single"/>
        </w:rPr>
        <w:t xml:space="preserve"> </w:t>
      </w:r>
      <w:r>
        <w:rPr>
          <w:sz w:val="24"/>
          <w:u w:val="single"/>
        </w:rPr>
        <w:t>Reappointment,</w:t>
      </w:r>
      <w:r>
        <w:rPr>
          <w:spacing w:val="-6"/>
          <w:sz w:val="24"/>
          <w:u w:val="single"/>
        </w:rPr>
        <w:t xml:space="preserve"> </w:t>
      </w:r>
      <w:r>
        <w:rPr>
          <w:sz w:val="24"/>
          <w:u w:val="single"/>
        </w:rPr>
        <w:t>Promotion,</w:t>
      </w:r>
      <w:r>
        <w:rPr>
          <w:spacing w:val="-6"/>
          <w:sz w:val="24"/>
          <w:u w:val="single"/>
        </w:rPr>
        <w:t xml:space="preserve"> </w:t>
      </w:r>
      <w:r>
        <w:rPr>
          <w:sz w:val="24"/>
          <w:u w:val="single"/>
        </w:rPr>
        <w:t>Tenure,</w:t>
      </w:r>
      <w:r>
        <w:rPr>
          <w:spacing w:val="-3"/>
          <w:sz w:val="24"/>
          <w:u w:val="single"/>
        </w:rPr>
        <w:t xml:space="preserve"> </w:t>
      </w:r>
      <w:r>
        <w:rPr>
          <w:sz w:val="24"/>
          <w:u w:val="single"/>
        </w:rPr>
        <w:t>and</w:t>
      </w:r>
      <w:r>
        <w:rPr>
          <w:spacing w:val="-6"/>
          <w:sz w:val="24"/>
          <w:u w:val="single"/>
        </w:rPr>
        <w:t xml:space="preserve"> </w:t>
      </w:r>
      <w:r>
        <w:rPr>
          <w:sz w:val="24"/>
          <w:u w:val="single"/>
        </w:rPr>
        <w:t>Retention</w:t>
      </w:r>
      <w:r>
        <w:rPr>
          <w:sz w:val="24"/>
        </w:rPr>
        <w:t xml:space="preserve"> All evaluations relating to reappointment of non-tenured faculty, librarians, and</w:t>
      </w:r>
    </w:p>
    <w:p w14:paraId="6EDA4725" w14:textId="77777777" w:rsidR="00EB7015" w:rsidRDefault="00EB7015" w:rsidP="00EB7015">
      <w:pPr>
        <w:pStyle w:val="BodyText"/>
        <w:spacing w:before="0" w:line="225" w:lineRule="exact"/>
      </w:pPr>
      <w:r>
        <w:t>professional</w:t>
      </w:r>
      <w:r>
        <w:rPr>
          <w:spacing w:val="-3"/>
        </w:rPr>
        <w:t xml:space="preserve"> </w:t>
      </w:r>
      <w:r>
        <w:t>athletic</w:t>
      </w:r>
      <w:r>
        <w:rPr>
          <w:spacing w:val="-1"/>
        </w:rPr>
        <w:t xml:space="preserve"> </w:t>
      </w:r>
      <w:r>
        <w:t>staff,</w:t>
      </w:r>
      <w:r>
        <w:rPr>
          <w:spacing w:val="-1"/>
        </w:rPr>
        <w:t xml:space="preserve"> </w:t>
      </w:r>
      <w:r>
        <w:t>promotion,</w:t>
      </w:r>
      <w:r>
        <w:rPr>
          <w:spacing w:val="-1"/>
        </w:rPr>
        <w:t xml:space="preserve"> </w:t>
      </w:r>
      <w:r>
        <w:t>tenure,</w:t>
      </w:r>
      <w:r>
        <w:rPr>
          <w:spacing w:val="-1"/>
        </w:rPr>
        <w:t xml:space="preserve"> </w:t>
      </w:r>
      <w:r>
        <w:t>and retention</w:t>
      </w:r>
      <w:r>
        <w:rPr>
          <w:spacing w:val="-1"/>
        </w:rPr>
        <w:t xml:space="preserve"> </w:t>
      </w:r>
      <w:r>
        <w:t>shall</w:t>
      </w:r>
      <w:r>
        <w:rPr>
          <w:spacing w:val="-1"/>
        </w:rPr>
        <w:t xml:space="preserve"> </w:t>
      </w:r>
      <w:r>
        <w:t>be</w:t>
      </w:r>
      <w:r>
        <w:rPr>
          <w:spacing w:val="-2"/>
        </w:rPr>
        <w:t xml:space="preserve"> </w:t>
      </w:r>
      <w:r>
        <w:t>conducted</w:t>
      </w:r>
      <w:r>
        <w:rPr>
          <w:spacing w:val="-1"/>
        </w:rPr>
        <w:t xml:space="preserve"> </w:t>
      </w:r>
      <w:r>
        <w:t xml:space="preserve">in </w:t>
      </w:r>
      <w:r>
        <w:rPr>
          <w:spacing w:val="-2"/>
        </w:rPr>
        <w:t>accordance</w:t>
      </w:r>
    </w:p>
    <w:p w14:paraId="46E83C92" w14:textId="77777777" w:rsidR="00EB7015" w:rsidRDefault="00EB7015" w:rsidP="00EB7015">
      <w:pPr>
        <w:pStyle w:val="BodyText"/>
        <w:spacing w:before="0"/>
        <w:ind w:right="159"/>
      </w:pPr>
      <w:r>
        <w:t>with</w:t>
      </w:r>
      <w:r>
        <w:rPr>
          <w:spacing w:val="-4"/>
        </w:rPr>
        <w:t xml:space="preserve"> </w:t>
      </w:r>
      <w:r>
        <w:t>the</w:t>
      </w:r>
      <w:r>
        <w:rPr>
          <w:spacing w:val="-5"/>
        </w:rPr>
        <w:t xml:space="preserve"> </w:t>
      </w:r>
      <w:r>
        <w:t>Articles</w:t>
      </w:r>
      <w:r>
        <w:rPr>
          <w:spacing w:val="-4"/>
        </w:rPr>
        <w:t xml:space="preserve"> </w:t>
      </w:r>
      <w:r>
        <w:t>on</w:t>
      </w:r>
      <w:r>
        <w:rPr>
          <w:spacing w:val="-4"/>
        </w:rPr>
        <w:t xml:space="preserve"> </w:t>
      </w:r>
      <w:r>
        <w:t>Reappointment,</w:t>
      </w:r>
      <w:r>
        <w:rPr>
          <w:spacing w:val="-4"/>
        </w:rPr>
        <w:t xml:space="preserve"> </w:t>
      </w:r>
      <w:r>
        <w:t>Promotion</w:t>
      </w:r>
      <w:r>
        <w:rPr>
          <w:spacing w:val="-4"/>
        </w:rPr>
        <w:t xml:space="preserve"> </w:t>
      </w:r>
      <w:r>
        <w:t>and</w:t>
      </w:r>
      <w:r>
        <w:rPr>
          <w:spacing w:val="-4"/>
        </w:rPr>
        <w:t xml:space="preserve"> </w:t>
      </w:r>
      <w:r>
        <w:t>Tenure,</w:t>
      </w:r>
      <w:r>
        <w:rPr>
          <w:spacing w:val="-4"/>
        </w:rPr>
        <w:t xml:space="preserve"> </w:t>
      </w:r>
      <w:r>
        <w:t>Professional</w:t>
      </w:r>
      <w:r>
        <w:rPr>
          <w:spacing w:val="-4"/>
        </w:rPr>
        <w:t xml:space="preserve"> </w:t>
      </w:r>
      <w:r>
        <w:t>Athletic</w:t>
      </w:r>
      <w:r>
        <w:rPr>
          <w:spacing w:val="-5"/>
        </w:rPr>
        <w:t xml:space="preserve"> </w:t>
      </w:r>
      <w:r>
        <w:t xml:space="preserve">Staff, and Reduction </w:t>
      </w:r>
      <w:proofErr w:type="gramStart"/>
      <w:r>
        <w:t>In</w:t>
      </w:r>
      <w:proofErr w:type="gramEnd"/>
      <w:r>
        <w:t xml:space="preserve"> Force contained in this Agreement.</w:t>
      </w:r>
    </w:p>
    <w:p w14:paraId="566876B1" w14:textId="77777777" w:rsidR="00EB7015" w:rsidRDefault="00EB7015" w:rsidP="00EB7015">
      <w:pPr>
        <w:pStyle w:val="ListParagraph"/>
        <w:numPr>
          <w:ilvl w:val="0"/>
          <w:numId w:val="25"/>
        </w:numPr>
        <w:tabs>
          <w:tab w:val="left" w:pos="1540"/>
        </w:tabs>
        <w:ind w:left="1540"/>
        <w:rPr>
          <w:sz w:val="24"/>
        </w:rPr>
      </w:pPr>
      <w:r>
        <w:rPr>
          <w:sz w:val="24"/>
          <w:u w:val="single"/>
        </w:rPr>
        <w:t>Course</w:t>
      </w:r>
      <w:r>
        <w:rPr>
          <w:spacing w:val="-4"/>
          <w:sz w:val="24"/>
          <w:u w:val="single"/>
        </w:rPr>
        <w:t xml:space="preserve"> </w:t>
      </w:r>
      <w:r>
        <w:rPr>
          <w:spacing w:val="-2"/>
          <w:sz w:val="24"/>
          <w:u w:val="single"/>
        </w:rPr>
        <w:t>Evaluations</w:t>
      </w:r>
    </w:p>
    <w:p w14:paraId="009E5359" w14:textId="77777777" w:rsidR="00EB7015" w:rsidRDefault="00EB7015" w:rsidP="00EB7015">
      <w:pPr>
        <w:pStyle w:val="BodyText"/>
        <w:ind w:right="156" w:firstLine="719"/>
      </w:pPr>
      <w:r>
        <w:t>Each semester, it shall be the professional responsibility of each member of the faculty, for their professional development, to solicit the students’ evaluations of each course section taught by such faculty member. The course evaluation instrument used shall be consistent with the “Course Evaluation Form Policy” in the Academic Policy Manual. Prior to the final week of classes each semester, including summer and January</w:t>
      </w:r>
      <w:r>
        <w:rPr>
          <w:spacing w:val="-2"/>
        </w:rPr>
        <w:t xml:space="preserve"> </w:t>
      </w:r>
      <w:r>
        <w:t>sessions, the University</w:t>
      </w:r>
      <w:r>
        <w:rPr>
          <w:spacing w:val="-5"/>
        </w:rPr>
        <w:t xml:space="preserve"> </w:t>
      </w:r>
      <w:r>
        <w:t>shall provide each faculty member with a sealable envelope and the faculty member shall provide the applicable Dean a copy of the form to be used for that semester’s evaluations. Completed course</w:t>
      </w:r>
      <w:r>
        <w:rPr>
          <w:spacing w:val="40"/>
        </w:rPr>
        <w:t xml:space="preserve"> </w:t>
      </w:r>
      <w:r>
        <w:t>evaluations collected from students shall be placed in the sealable envelopes. The faculty member shall sign their name across the seal, seal the envelope, and deliver it or have it</w:t>
      </w:r>
      <w:r>
        <w:rPr>
          <w:spacing w:val="40"/>
        </w:rPr>
        <w:t xml:space="preserve"> </w:t>
      </w:r>
      <w:r>
        <w:t>delivered to the office of the Dean of the college offering the course. The Dean may open the envelopes</w:t>
      </w:r>
      <w:r>
        <w:rPr>
          <w:spacing w:val="-3"/>
        </w:rPr>
        <w:t xml:space="preserve"> </w:t>
      </w:r>
      <w:r>
        <w:t>and</w:t>
      </w:r>
      <w:r>
        <w:rPr>
          <w:spacing w:val="-1"/>
        </w:rPr>
        <w:t xml:space="preserve"> </w:t>
      </w:r>
      <w:r>
        <w:t>review</w:t>
      </w:r>
      <w:r>
        <w:rPr>
          <w:spacing w:val="-4"/>
        </w:rPr>
        <w:t xml:space="preserve"> </w:t>
      </w:r>
      <w:r>
        <w:t>the</w:t>
      </w:r>
      <w:r>
        <w:rPr>
          <w:spacing w:val="-2"/>
        </w:rPr>
        <w:t xml:space="preserve"> </w:t>
      </w:r>
      <w:r>
        <w:t>evaluations,</w:t>
      </w:r>
      <w:r>
        <w:rPr>
          <w:spacing w:val="-3"/>
        </w:rPr>
        <w:t xml:space="preserve"> </w:t>
      </w:r>
      <w:r>
        <w:t>or</w:t>
      </w:r>
      <w:r>
        <w:rPr>
          <w:spacing w:val="-3"/>
        </w:rPr>
        <w:t xml:space="preserve"> </w:t>
      </w:r>
      <w:r>
        <w:t>delegate</w:t>
      </w:r>
      <w:r>
        <w:rPr>
          <w:spacing w:val="-2"/>
        </w:rPr>
        <w:t xml:space="preserve"> </w:t>
      </w:r>
      <w:r>
        <w:t>that</w:t>
      </w:r>
      <w:r>
        <w:rPr>
          <w:spacing w:val="-3"/>
        </w:rPr>
        <w:t xml:space="preserve"> </w:t>
      </w:r>
      <w:r>
        <w:t>task</w:t>
      </w:r>
      <w:r>
        <w:rPr>
          <w:spacing w:val="-3"/>
        </w:rPr>
        <w:t xml:space="preserve"> </w:t>
      </w:r>
      <w:r>
        <w:t>to</w:t>
      </w:r>
      <w:r>
        <w:rPr>
          <w:spacing w:val="-3"/>
        </w:rPr>
        <w:t xml:space="preserve"> </w:t>
      </w:r>
      <w:r>
        <w:t>an</w:t>
      </w:r>
      <w:r>
        <w:rPr>
          <w:spacing w:val="-3"/>
        </w:rPr>
        <w:t xml:space="preserve"> </w:t>
      </w:r>
      <w:r>
        <w:t>associate Dean</w:t>
      </w:r>
      <w:r>
        <w:rPr>
          <w:spacing w:val="-3"/>
        </w:rPr>
        <w:t xml:space="preserve"> </w:t>
      </w:r>
      <w:r>
        <w:t>of</w:t>
      </w:r>
      <w:r>
        <w:rPr>
          <w:spacing w:val="-3"/>
        </w:rPr>
        <w:t xml:space="preserve"> </w:t>
      </w:r>
      <w:r>
        <w:t>the</w:t>
      </w:r>
      <w:r>
        <w:rPr>
          <w:spacing w:val="-3"/>
        </w:rPr>
        <w:t xml:space="preserve"> </w:t>
      </w:r>
      <w:r>
        <w:t>college,</w:t>
      </w:r>
      <w:r>
        <w:rPr>
          <w:spacing w:val="-3"/>
        </w:rPr>
        <w:t xml:space="preserve"> </w:t>
      </w:r>
      <w:r>
        <w:t>or choose not to open them at their discretion. Normally Deans and associate Deans will be selective in reviewing copies of completed course evaluations; however, circumstances may,</w:t>
      </w:r>
    </w:p>
    <w:p w14:paraId="54F03826" w14:textId="77777777" w:rsidR="00EB7015" w:rsidRDefault="00EB7015" w:rsidP="00EB7015">
      <w:pPr>
        <w:sectPr w:rsidR="00EB7015" w:rsidSect="00EB7015">
          <w:headerReference w:type="even" r:id="rId7"/>
          <w:headerReference w:type="default" r:id="rId8"/>
          <w:footerReference w:type="even" r:id="rId9"/>
          <w:footerReference w:type="default" r:id="rId10"/>
          <w:headerReference w:type="first" r:id="rId11"/>
          <w:footerReference w:type="first" r:id="rId12"/>
          <w:pgSz w:w="12240" w:h="15840"/>
          <w:pgMar w:top="1360" w:right="1320" w:bottom="1420" w:left="1340" w:header="0" w:footer="1236" w:gutter="0"/>
          <w:pgNumType w:start="111"/>
          <w:cols w:space="720"/>
        </w:sectPr>
      </w:pPr>
    </w:p>
    <w:p w14:paraId="1EA6FA33" w14:textId="77777777" w:rsidR="00EB7015" w:rsidRDefault="00EB7015" w:rsidP="00EB7015">
      <w:pPr>
        <w:pStyle w:val="BodyText"/>
        <w:spacing w:before="74"/>
        <w:ind w:right="157"/>
      </w:pPr>
      <w:r>
        <w:lastRenderedPageBreak/>
        <w:t>from time to time, make it appropriate to review all faculty course evaluations within a college. When</w:t>
      </w:r>
      <w:r>
        <w:rPr>
          <w:spacing w:val="-3"/>
        </w:rPr>
        <w:t xml:space="preserve"> </w:t>
      </w:r>
      <w:r>
        <w:t>the</w:t>
      </w:r>
      <w:r>
        <w:rPr>
          <w:spacing w:val="-4"/>
        </w:rPr>
        <w:t xml:space="preserve"> </w:t>
      </w:r>
      <w:r>
        <w:t>Dean</w:t>
      </w:r>
      <w:r>
        <w:rPr>
          <w:spacing w:val="-3"/>
        </w:rPr>
        <w:t xml:space="preserve"> </w:t>
      </w:r>
      <w:r>
        <w:t>exercises</w:t>
      </w:r>
      <w:r>
        <w:rPr>
          <w:spacing w:val="-3"/>
        </w:rPr>
        <w:t xml:space="preserve"> </w:t>
      </w:r>
      <w:r>
        <w:t>this</w:t>
      </w:r>
      <w:r>
        <w:rPr>
          <w:spacing w:val="-3"/>
        </w:rPr>
        <w:t xml:space="preserve"> </w:t>
      </w:r>
      <w:r>
        <w:t>right,</w:t>
      </w:r>
      <w:r>
        <w:rPr>
          <w:spacing w:val="-1"/>
        </w:rPr>
        <w:t xml:space="preserve"> </w:t>
      </w:r>
      <w:r>
        <w:t>they</w:t>
      </w:r>
      <w:r>
        <w:rPr>
          <w:spacing w:val="-8"/>
        </w:rPr>
        <w:t xml:space="preserve"> </w:t>
      </w:r>
      <w:r>
        <w:t>shall</w:t>
      </w:r>
      <w:r>
        <w:rPr>
          <w:spacing w:val="-3"/>
        </w:rPr>
        <w:t xml:space="preserve"> </w:t>
      </w:r>
      <w:r>
        <w:t>provide</w:t>
      </w:r>
      <w:r>
        <w:rPr>
          <w:spacing w:val="-3"/>
        </w:rPr>
        <w:t xml:space="preserve"> </w:t>
      </w:r>
      <w:r>
        <w:t>written</w:t>
      </w:r>
      <w:r>
        <w:rPr>
          <w:spacing w:val="-3"/>
        </w:rPr>
        <w:t xml:space="preserve"> </w:t>
      </w:r>
      <w:r>
        <w:t>notice,</w:t>
      </w:r>
      <w:r>
        <w:rPr>
          <w:spacing w:val="-3"/>
        </w:rPr>
        <w:t xml:space="preserve"> </w:t>
      </w:r>
      <w:r>
        <w:t>containing</w:t>
      </w:r>
      <w:r>
        <w:rPr>
          <w:spacing w:val="-6"/>
        </w:rPr>
        <w:t xml:space="preserve"> </w:t>
      </w:r>
      <w:r>
        <w:t>their</w:t>
      </w:r>
      <w:r>
        <w:rPr>
          <w:spacing w:val="-3"/>
        </w:rPr>
        <w:t xml:space="preserve"> </w:t>
      </w:r>
      <w:r>
        <w:t>reasons</w:t>
      </w:r>
      <w:r>
        <w:rPr>
          <w:spacing w:val="-3"/>
        </w:rPr>
        <w:t xml:space="preserve"> </w:t>
      </w:r>
      <w:r>
        <w:t>for doing so, to the faculty member(s) with a copy to the AAUP. For the professional development of the faculty member, the Dean or associate Dean may schedule a meeting with the faculty member to review the course evaluations, or they may share the course evaluations with the faculty member’s chair to use for developmental purposes. The University may not use course evaluations for purposes of discipline, promotion, or tenure, unless introduced for such purposes by the faculty member.</w:t>
      </w:r>
    </w:p>
    <w:p w14:paraId="06D94727" w14:textId="77777777" w:rsidR="00EB7015" w:rsidRDefault="00EB7015" w:rsidP="00EB7015">
      <w:pPr>
        <w:pStyle w:val="BodyText"/>
        <w:spacing w:before="241"/>
        <w:ind w:right="217" w:firstLine="719"/>
      </w:pPr>
      <w:r>
        <w:t>In any semester in which a non-tenured tenure-track faculty member’s chair conducts a classroom</w:t>
      </w:r>
      <w:r>
        <w:rPr>
          <w:spacing w:val="-3"/>
        </w:rPr>
        <w:t xml:space="preserve"> </w:t>
      </w:r>
      <w:r>
        <w:t>observation</w:t>
      </w:r>
      <w:r>
        <w:rPr>
          <w:spacing w:val="-3"/>
        </w:rPr>
        <w:t xml:space="preserve"> </w:t>
      </w:r>
      <w:r>
        <w:t>of</w:t>
      </w:r>
      <w:r>
        <w:rPr>
          <w:spacing w:val="-4"/>
        </w:rPr>
        <w:t xml:space="preserve"> </w:t>
      </w:r>
      <w:r>
        <w:t>that</w:t>
      </w:r>
      <w:r>
        <w:rPr>
          <w:spacing w:val="-3"/>
        </w:rPr>
        <w:t xml:space="preserve"> </w:t>
      </w:r>
      <w:r>
        <w:t>faculty</w:t>
      </w:r>
      <w:r>
        <w:rPr>
          <w:spacing w:val="-8"/>
        </w:rPr>
        <w:t xml:space="preserve"> </w:t>
      </w:r>
      <w:r>
        <w:t>member,</w:t>
      </w:r>
      <w:r>
        <w:rPr>
          <w:spacing w:val="-2"/>
        </w:rPr>
        <w:t xml:space="preserve"> </w:t>
      </w:r>
      <w:r>
        <w:t>and</w:t>
      </w:r>
      <w:r>
        <w:rPr>
          <w:spacing w:val="-3"/>
        </w:rPr>
        <w:t xml:space="preserve"> </w:t>
      </w:r>
      <w:r>
        <w:t>the</w:t>
      </w:r>
      <w:r>
        <w:rPr>
          <w:spacing w:val="-3"/>
        </w:rPr>
        <w:t xml:space="preserve"> </w:t>
      </w:r>
      <w:r>
        <w:t>chair</w:t>
      </w:r>
      <w:r>
        <w:rPr>
          <w:spacing w:val="-3"/>
        </w:rPr>
        <w:t xml:space="preserve"> </w:t>
      </w:r>
      <w:r>
        <w:t>provides</w:t>
      </w:r>
      <w:r>
        <w:rPr>
          <w:spacing w:val="-3"/>
        </w:rPr>
        <w:t xml:space="preserve"> </w:t>
      </w:r>
      <w:r>
        <w:t>the</w:t>
      </w:r>
      <w:r>
        <w:rPr>
          <w:spacing w:val="-3"/>
        </w:rPr>
        <w:t xml:space="preserve"> </w:t>
      </w:r>
      <w:r>
        <w:t>faculty</w:t>
      </w:r>
      <w:r>
        <w:rPr>
          <w:spacing w:val="-8"/>
        </w:rPr>
        <w:t xml:space="preserve"> </w:t>
      </w:r>
      <w:r>
        <w:t>member</w:t>
      </w:r>
      <w:r>
        <w:rPr>
          <w:spacing w:val="-5"/>
        </w:rPr>
        <w:t xml:space="preserve"> </w:t>
      </w:r>
      <w:r>
        <w:t>with</w:t>
      </w:r>
      <w:r>
        <w:rPr>
          <w:spacing w:val="-3"/>
        </w:rPr>
        <w:t xml:space="preserve"> </w:t>
      </w:r>
      <w:r>
        <w:t>a written evaluation within two (2) weeks of the observation, the chair may review all of that faculty member’s student course evaluations provided by the Dean for that semester. A chair who does so must meet with the faculty member to discuss the evaluations and provide the faculty</w:t>
      </w:r>
      <w:r>
        <w:rPr>
          <w:spacing w:val="-1"/>
        </w:rPr>
        <w:t xml:space="preserve"> </w:t>
      </w:r>
      <w:r>
        <w:t>member with a development plan for their teaching based upon the chair’s observations and the course evaluations. The faculty member has the right to respond to the chair’s plan.</w:t>
      </w:r>
    </w:p>
    <w:p w14:paraId="588B67BA" w14:textId="77777777" w:rsidR="00EB7015" w:rsidRDefault="00EB7015" w:rsidP="00EB7015">
      <w:pPr>
        <w:pStyle w:val="BodyText"/>
        <w:spacing w:before="0"/>
        <w:ind w:right="146"/>
      </w:pPr>
      <w:r>
        <w:t>Thereafter, the chair may utilize the development plan in their subsequent P&amp;T recommendations for that faculty member. The plan and the faculty member’s response will be kept</w:t>
      </w:r>
      <w:r>
        <w:rPr>
          <w:spacing w:val="-2"/>
        </w:rPr>
        <w:t xml:space="preserve"> </w:t>
      </w:r>
      <w:r>
        <w:t>on</w:t>
      </w:r>
      <w:r>
        <w:rPr>
          <w:spacing w:val="-2"/>
        </w:rPr>
        <w:t xml:space="preserve"> </w:t>
      </w:r>
      <w:r>
        <w:t>file</w:t>
      </w:r>
      <w:r>
        <w:rPr>
          <w:spacing w:val="-3"/>
        </w:rPr>
        <w:t xml:space="preserve"> </w:t>
      </w:r>
      <w:r>
        <w:t>by</w:t>
      </w:r>
      <w:r>
        <w:rPr>
          <w:spacing w:val="-7"/>
        </w:rPr>
        <w:t xml:space="preserve"> </w:t>
      </w:r>
      <w:r>
        <w:t>the</w:t>
      </w:r>
      <w:r>
        <w:rPr>
          <w:spacing w:val="-3"/>
        </w:rPr>
        <w:t xml:space="preserve"> </w:t>
      </w:r>
      <w:r>
        <w:t>academic</w:t>
      </w:r>
      <w:r>
        <w:rPr>
          <w:spacing w:val="-3"/>
        </w:rPr>
        <w:t xml:space="preserve"> </w:t>
      </w:r>
      <w:r>
        <w:t>department’s</w:t>
      </w:r>
      <w:r>
        <w:rPr>
          <w:spacing w:val="-3"/>
        </w:rPr>
        <w:t xml:space="preserve"> </w:t>
      </w:r>
      <w:r>
        <w:t>secretary</w:t>
      </w:r>
      <w:r>
        <w:rPr>
          <w:spacing w:val="-5"/>
        </w:rPr>
        <w:t xml:space="preserve"> </w:t>
      </w:r>
      <w:r>
        <w:t>and</w:t>
      </w:r>
      <w:r>
        <w:rPr>
          <w:spacing w:val="-2"/>
        </w:rPr>
        <w:t xml:space="preserve"> </w:t>
      </w:r>
      <w:r>
        <w:t>made</w:t>
      </w:r>
      <w:r>
        <w:rPr>
          <w:spacing w:val="-2"/>
        </w:rPr>
        <w:t xml:space="preserve"> </w:t>
      </w:r>
      <w:r>
        <w:t>available</w:t>
      </w:r>
      <w:r>
        <w:rPr>
          <w:spacing w:val="-2"/>
        </w:rPr>
        <w:t xml:space="preserve"> </w:t>
      </w:r>
      <w:r>
        <w:t>to</w:t>
      </w:r>
      <w:r>
        <w:rPr>
          <w:spacing w:val="-1"/>
        </w:rPr>
        <w:t xml:space="preserve"> </w:t>
      </w:r>
      <w:r>
        <w:t>successor</w:t>
      </w:r>
      <w:r>
        <w:rPr>
          <w:spacing w:val="-1"/>
        </w:rPr>
        <w:t xml:space="preserve"> </w:t>
      </w:r>
      <w:r>
        <w:t>chairs</w:t>
      </w:r>
      <w:r>
        <w:rPr>
          <w:spacing w:val="-3"/>
        </w:rPr>
        <w:t xml:space="preserve"> </w:t>
      </w:r>
      <w:r>
        <w:t>of</w:t>
      </w:r>
      <w:r>
        <w:rPr>
          <w:spacing w:val="-3"/>
        </w:rPr>
        <w:t xml:space="preserve"> </w:t>
      </w:r>
      <w:r>
        <w:t>the faculty member’s department.</w:t>
      </w:r>
    </w:p>
    <w:p w14:paraId="77172C20" w14:textId="77777777" w:rsidR="00EB7015" w:rsidRDefault="00EB7015" w:rsidP="00EB7015">
      <w:pPr>
        <w:pStyle w:val="ListParagraph"/>
        <w:numPr>
          <w:ilvl w:val="0"/>
          <w:numId w:val="25"/>
        </w:numPr>
        <w:tabs>
          <w:tab w:val="left" w:pos="1540"/>
        </w:tabs>
        <w:ind w:left="1540"/>
        <w:rPr>
          <w:sz w:val="24"/>
        </w:rPr>
      </w:pPr>
      <w:r>
        <w:rPr>
          <w:sz w:val="24"/>
          <w:u w:val="single"/>
        </w:rPr>
        <w:t>Department</w:t>
      </w:r>
      <w:r>
        <w:rPr>
          <w:spacing w:val="-4"/>
          <w:sz w:val="24"/>
          <w:u w:val="single"/>
        </w:rPr>
        <w:t xml:space="preserve"> </w:t>
      </w:r>
      <w:r>
        <w:rPr>
          <w:sz w:val="24"/>
          <w:u w:val="single"/>
        </w:rPr>
        <w:t>and</w:t>
      </w:r>
      <w:r>
        <w:rPr>
          <w:spacing w:val="-1"/>
          <w:sz w:val="24"/>
          <w:u w:val="single"/>
        </w:rPr>
        <w:t xml:space="preserve"> </w:t>
      </w:r>
      <w:r>
        <w:rPr>
          <w:sz w:val="24"/>
          <w:u w:val="single"/>
        </w:rPr>
        <w:t>Academic</w:t>
      </w:r>
      <w:r>
        <w:rPr>
          <w:spacing w:val="-2"/>
          <w:sz w:val="24"/>
          <w:u w:val="single"/>
        </w:rPr>
        <w:t xml:space="preserve"> </w:t>
      </w:r>
      <w:r>
        <w:rPr>
          <w:sz w:val="24"/>
          <w:u w:val="single"/>
        </w:rPr>
        <w:t>Program</w:t>
      </w:r>
      <w:r>
        <w:rPr>
          <w:spacing w:val="-1"/>
          <w:sz w:val="24"/>
          <w:u w:val="single"/>
        </w:rPr>
        <w:t xml:space="preserve"> </w:t>
      </w:r>
      <w:r>
        <w:rPr>
          <w:spacing w:val="-2"/>
          <w:sz w:val="24"/>
          <w:u w:val="single"/>
        </w:rPr>
        <w:t>Evaluation</w:t>
      </w:r>
    </w:p>
    <w:p w14:paraId="4F04B47F" w14:textId="77777777" w:rsidR="00EB7015" w:rsidRDefault="00EB7015" w:rsidP="00EB7015">
      <w:pPr>
        <w:pStyle w:val="BodyText"/>
        <w:spacing w:before="241"/>
        <w:ind w:right="319" w:firstLine="719"/>
      </w:pPr>
      <w:r>
        <w:t>Each department or academic program will engage in a systematic evaluation of its operation</w:t>
      </w:r>
      <w:r>
        <w:rPr>
          <w:spacing w:val="-3"/>
        </w:rPr>
        <w:t xml:space="preserve"> </w:t>
      </w:r>
      <w:r>
        <w:t>on</w:t>
      </w:r>
      <w:r>
        <w:rPr>
          <w:spacing w:val="-3"/>
        </w:rPr>
        <w:t xml:space="preserve"> </w:t>
      </w:r>
      <w:r>
        <w:t>a</w:t>
      </w:r>
      <w:r>
        <w:rPr>
          <w:spacing w:val="-4"/>
        </w:rPr>
        <w:t xml:space="preserve"> </w:t>
      </w:r>
      <w:r>
        <w:t>schedule</w:t>
      </w:r>
      <w:r>
        <w:rPr>
          <w:spacing w:val="-3"/>
        </w:rPr>
        <w:t xml:space="preserve"> </w:t>
      </w:r>
      <w:r>
        <w:t>and</w:t>
      </w:r>
      <w:r>
        <w:rPr>
          <w:spacing w:val="-3"/>
        </w:rPr>
        <w:t xml:space="preserve"> </w:t>
      </w:r>
      <w:r>
        <w:t>with</w:t>
      </w:r>
      <w:r>
        <w:rPr>
          <w:spacing w:val="-3"/>
        </w:rPr>
        <w:t xml:space="preserve"> </w:t>
      </w:r>
      <w:r>
        <w:t>outside-evaluator</w:t>
      </w:r>
      <w:r>
        <w:rPr>
          <w:spacing w:val="-2"/>
        </w:rPr>
        <w:t xml:space="preserve"> </w:t>
      </w:r>
      <w:r>
        <w:t>participation</w:t>
      </w:r>
      <w:r>
        <w:rPr>
          <w:spacing w:val="-3"/>
        </w:rPr>
        <w:t xml:space="preserve"> </w:t>
      </w:r>
      <w:r>
        <w:t>as</w:t>
      </w:r>
      <w:r>
        <w:rPr>
          <w:spacing w:val="-3"/>
        </w:rPr>
        <w:t xml:space="preserve"> </w:t>
      </w:r>
      <w:r>
        <w:t>agreed</w:t>
      </w:r>
      <w:r>
        <w:rPr>
          <w:spacing w:val="-3"/>
        </w:rPr>
        <w:t xml:space="preserve"> </w:t>
      </w:r>
      <w:r>
        <w:t>to</w:t>
      </w:r>
      <w:r>
        <w:rPr>
          <w:spacing w:val="-3"/>
        </w:rPr>
        <w:t xml:space="preserve"> </w:t>
      </w:r>
      <w:r>
        <w:t>by</w:t>
      </w:r>
      <w:r>
        <w:rPr>
          <w:spacing w:val="-8"/>
        </w:rPr>
        <w:t xml:space="preserve"> </w:t>
      </w:r>
      <w:r>
        <w:t>the</w:t>
      </w:r>
      <w:r>
        <w:rPr>
          <w:spacing w:val="-3"/>
        </w:rPr>
        <w:t xml:space="preserve"> </w:t>
      </w:r>
      <w:r>
        <w:t xml:space="preserve">department or program and the </w:t>
      </w:r>
      <w:proofErr w:type="gramStart"/>
      <w:r>
        <w:t>Provost</w:t>
      </w:r>
      <w:proofErr w:type="gramEnd"/>
      <w:r>
        <w:t>. Any department/program whose operation is subject to external unit-specific accreditation (for example AACSB, ACS, CACREP, CAEP, NASM, etc.) is exempt from such evaluation.</w:t>
      </w:r>
    </w:p>
    <w:p w14:paraId="05BFB937" w14:textId="77777777" w:rsidR="00C62E51" w:rsidRPr="00EB7015" w:rsidRDefault="00C62E51" w:rsidP="00EB7015"/>
    <w:sectPr w:rsidR="00C62E51" w:rsidRPr="00EB7015">
      <w:footerReference w:type="default" r:id="rId13"/>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1E22" w14:textId="77777777" w:rsidR="001B43CE" w:rsidRDefault="001B43CE">
      <w:r>
        <w:separator/>
      </w:r>
    </w:p>
  </w:endnote>
  <w:endnote w:type="continuationSeparator" w:id="0">
    <w:p w14:paraId="49783AD2" w14:textId="77777777" w:rsidR="001B43CE" w:rsidRDefault="001B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184781"/>
      <w:docPartObj>
        <w:docPartGallery w:val="Page Numbers (Bottom of Page)"/>
        <w:docPartUnique/>
      </w:docPartObj>
    </w:sdtPr>
    <w:sdtContent>
      <w:p w14:paraId="401C71B8" w14:textId="1B3E9BAA" w:rsidR="00EB7015" w:rsidRDefault="00EB7015"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8E1B7" w14:textId="77777777" w:rsidR="00EB7015" w:rsidRDefault="00EB7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20714"/>
      <w:docPartObj>
        <w:docPartGallery w:val="Page Numbers (Bottom of Page)"/>
        <w:docPartUnique/>
      </w:docPartObj>
    </w:sdtPr>
    <w:sdtContent>
      <w:p w14:paraId="738DB557" w14:textId="42754A0D" w:rsidR="00EB7015" w:rsidRDefault="00EB7015"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sdtContent>
  </w:sdt>
  <w:p w14:paraId="195D4861" w14:textId="77777777" w:rsidR="00EB7015" w:rsidRDefault="00EB7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9AFF" w14:textId="77777777" w:rsidR="00EB7015" w:rsidRDefault="00EB7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4100" w14:textId="77777777" w:rsidR="001B43CE" w:rsidRDefault="001B43CE">
      <w:r>
        <w:separator/>
      </w:r>
    </w:p>
  </w:footnote>
  <w:footnote w:type="continuationSeparator" w:id="0">
    <w:p w14:paraId="5CDBD842" w14:textId="77777777" w:rsidR="001B43CE" w:rsidRDefault="001B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1E69" w14:textId="77777777" w:rsidR="00EB7015" w:rsidRDefault="00EB7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18C7" w14:textId="77777777" w:rsidR="00EB7015" w:rsidRDefault="00EB7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C812" w14:textId="77777777" w:rsidR="00EB7015" w:rsidRDefault="00EB7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1B43CE"/>
    <w:rsid w:val="003A2CAB"/>
    <w:rsid w:val="005318E3"/>
    <w:rsid w:val="00777A0C"/>
    <w:rsid w:val="008B120F"/>
    <w:rsid w:val="00A72A42"/>
    <w:rsid w:val="00B121A4"/>
    <w:rsid w:val="00C17A39"/>
    <w:rsid w:val="00C62E51"/>
    <w:rsid w:val="00C977EA"/>
    <w:rsid w:val="00E60F50"/>
    <w:rsid w:val="00EB7015"/>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EB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