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5FCC" w14:textId="77777777" w:rsidR="001E560E" w:rsidRDefault="001E560E" w:rsidP="001E560E">
      <w:pPr>
        <w:spacing w:before="245"/>
        <w:ind w:right="17"/>
        <w:jc w:val="center"/>
        <w:rPr>
          <w:b/>
          <w:sz w:val="24"/>
        </w:rPr>
      </w:pPr>
      <w:r>
        <w:rPr>
          <w:b/>
          <w:sz w:val="24"/>
          <w:u w:val="single"/>
        </w:rPr>
        <w:t>ARTICLE</w:t>
      </w:r>
      <w:r>
        <w:rPr>
          <w:b/>
          <w:spacing w:val="-3"/>
          <w:sz w:val="24"/>
          <w:u w:val="single"/>
        </w:rPr>
        <w:t xml:space="preserve"> </w:t>
      </w:r>
      <w:r>
        <w:rPr>
          <w:b/>
          <w:spacing w:val="-4"/>
          <w:sz w:val="24"/>
          <w:u w:val="single"/>
        </w:rPr>
        <w:t>XXXV</w:t>
      </w:r>
    </w:p>
    <w:p w14:paraId="3EE203C7" w14:textId="77777777" w:rsidR="001E560E" w:rsidRDefault="001E560E" w:rsidP="001E560E">
      <w:pPr>
        <w:pStyle w:val="BodyText"/>
        <w:spacing w:before="0"/>
        <w:ind w:left="0"/>
        <w:rPr>
          <w:b/>
        </w:rPr>
      </w:pPr>
    </w:p>
    <w:p w14:paraId="7FB7CDFE" w14:textId="77777777" w:rsidR="001E560E" w:rsidRDefault="001E560E" w:rsidP="001E560E">
      <w:pPr>
        <w:ind w:left="5" w:right="24"/>
        <w:jc w:val="center"/>
        <w:rPr>
          <w:b/>
          <w:sz w:val="24"/>
        </w:rPr>
      </w:pPr>
      <w:r>
        <w:rPr>
          <w:b/>
          <w:sz w:val="24"/>
          <w:u w:val="single"/>
        </w:rPr>
        <w:t>SALARY</w:t>
      </w:r>
      <w:r>
        <w:rPr>
          <w:b/>
          <w:spacing w:val="-1"/>
          <w:sz w:val="24"/>
          <w:u w:val="single"/>
        </w:rPr>
        <w:t xml:space="preserve"> </w:t>
      </w:r>
      <w:r>
        <w:rPr>
          <w:b/>
          <w:spacing w:val="-2"/>
          <w:sz w:val="24"/>
          <w:u w:val="single"/>
        </w:rPr>
        <w:t>ADJUSTMENT</w:t>
      </w:r>
    </w:p>
    <w:p w14:paraId="49668E45" w14:textId="77777777" w:rsidR="001E560E" w:rsidRDefault="001E560E" w:rsidP="001E560E">
      <w:pPr>
        <w:pStyle w:val="ListParagraph"/>
        <w:numPr>
          <w:ilvl w:val="0"/>
          <w:numId w:val="7"/>
        </w:numPr>
        <w:tabs>
          <w:tab w:val="left" w:pos="1540"/>
        </w:tabs>
        <w:spacing w:before="236"/>
        <w:rPr>
          <w:sz w:val="24"/>
        </w:rPr>
      </w:pPr>
      <w:r>
        <w:rPr>
          <w:sz w:val="24"/>
          <w:u w:val="single"/>
        </w:rPr>
        <w:t>Conditions for</w:t>
      </w:r>
      <w:r>
        <w:rPr>
          <w:spacing w:val="-2"/>
          <w:sz w:val="24"/>
          <w:u w:val="single"/>
        </w:rPr>
        <w:t xml:space="preserve"> </w:t>
      </w:r>
      <w:r>
        <w:rPr>
          <w:sz w:val="24"/>
          <w:u w:val="single"/>
        </w:rPr>
        <w:t>Salary</w:t>
      </w:r>
      <w:r>
        <w:rPr>
          <w:spacing w:val="-5"/>
          <w:sz w:val="24"/>
          <w:u w:val="single"/>
        </w:rPr>
        <w:t xml:space="preserve"> </w:t>
      </w:r>
      <w:r>
        <w:rPr>
          <w:spacing w:val="-2"/>
          <w:sz w:val="24"/>
          <w:u w:val="single"/>
        </w:rPr>
        <w:t>Adjustment</w:t>
      </w:r>
    </w:p>
    <w:p w14:paraId="7E6CD6C9" w14:textId="77777777" w:rsidR="001E560E" w:rsidRDefault="001E560E" w:rsidP="001E560E">
      <w:pPr>
        <w:pStyle w:val="BodyText"/>
        <w:ind w:right="164" w:firstLine="719"/>
      </w:pPr>
      <w:r>
        <w:t>In the event that a full-time member of the bargaining unit, other than a member of the professional athletic staff, receives an offer of full-time employment from another institution of higher education, upon the presentation to the University of a written offer of appointment</w:t>
      </w:r>
      <w:r>
        <w:rPr>
          <w:spacing w:val="40"/>
        </w:rPr>
        <w:t xml:space="preserve"> </w:t>
      </w:r>
      <w:r>
        <w:t>signed and dated by an appropriate agent of the offering institution, the University may offer to increase the base wage rate of such bargaining unit member to an amount that either exceeds or equals the wage rate offered by the other employer; may offer to increase the base wage rate of the bargaining unit member by an amount that is less than the wage offered by the other employer;</w:t>
      </w:r>
      <w:r>
        <w:rPr>
          <w:spacing w:val="-2"/>
        </w:rPr>
        <w:t xml:space="preserve"> </w:t>
      </w:r>
      <w:r>
        <w:t>or</w:t>
      </w:r>
      <w:r>
        <w:rPr>
          <w:spacing w:val="-3"/>
        </w:rPr>
        <w:t xml:space="preserve"> </w:t>
      </w:r>
      <w:r>
        <w:t>may</w:t>
      </w:r>
      <w:r>
        <w:rPr>
          <w:spacing w:val="-7"/>
        </w:rPr>
        <w:t xml:space="preserve"> </w:t>
      </w:r>
      <w:r>
        <w:t>decline</w:t>
      </w:r>
      <w:r>
        <w:rPr>
          <w:spacing w:val="-3"/>
        </w:rPr>
        <w:t xml:space="preserve"> </w:t>
      </w:r>
      <w:r>
        <w:t>to</w:t>
      </w:r>
      <w:r>
        <w:rPr>
          <w:spacing w:val="-2"/>
        </w:rPr>
        <w:t xml:space="preserve"> </w:t>
      </w:r>
      <w:r>
        <w:t>make</w:t>
      </w:r>
      <w:r>
        <w:rPr>
          <w:spacing w:val="-3"/>
        </w:rPr>
        <w:t xml:space="preserve"> </w:t>
      </w:r>
      <w:r>
        <w:t>any</w:t>
      </w:r>
      <w:r>
        <w:rPr>
          <w:spacing w:val="-7"/>
        </w:rPr>
        <w:t xml:space="preserve"> </w:t>
      </w:r>
      <w:r>
        <w:t>offer</w:t>
      </w:r>
      <w:r>
        <w:rPr>
          <w:spacing w:val="-2"/>
        </w:rPr>
        <w:t xml:space="preserve"> </w:t>
      </w:r>
      <w:r>
        <w:t>of</w:t>
      </w:r>
      <w:r>
        <w:rPr>
          <w:spacing w:val="-2"/>
        </w:rPr>
        <w:t xml:space="preserve"> </w:t>
      </w:r>
      <w:r>
        <w:t>an increase</w:t>
      </w:r>
      <w:r>
        <w:rPr>
          <w:spacing w:val="-3"/>
        </w:rPr>
        <w:t xml:space="preserve"> </w:t>
      </w:r>
      <w:r>
        <w:t>in</w:t>
      </w:r>
      <w:r>
        <w:rPr>
          <w:spacing w:val="-2"/>
        </w:rPr>
        <w:t xml:space="preserve"> </w:t>
      </w:r>
      <w:r>
        <w:t>the</w:t>
      </w:r>
      <w:r>
        <w:rPr>
          <w:spacing w:val="-3"/>
        </w:rPr>
        <w:t xml:space="preserve"> </w:t>
      </w:r>
      <w:r>
        <w:t>wage</w:t>
      </w:r>
      <w:r>
        <w:rPr>
          <w:spacing w:val="-3"/>
        </w:rPr>
        <w:t xml:space="preserve"> </w:t>
      </w:r>
      <w:r>
        <w:t>rate</w:t>
      </w:r>
      <w:r>
        <w:rPr>
          <w:spacing w:val="-1"/>
        </w:rPr>
        <w:t xml:space="preserve"> </w:t>
      </w:r>
      <w:r>
        <w:t>of</w:t>
      </w:r>
      <w:r>
        <w:rPr>
          <w:spacing w:val="-2"/>
        </w:rPr>
        <w:t xml:space="preserve"> </w:t>
      </w:r>
      <w:r>
        <w:t>the</w:t>
      </w:r>
      <w:r>
        <w:rPr>
          <w:spacing w:val="-4"/>
        </w:rPr>
        <w:t xml:space="preserve"> </w:t>
      </w:r>
      <w:r>
        <w:t>bargaining</w:t>
      </w:r>
      <w:r>
        <w:rPr>
          <w:spacing w:val="-5"/>
        </w:rPr>
        <w:t xml:space="preserve"> </w:t>
      </w:r>
      <w:r>
        <w:t xml:space="preserve">unit </w:t>
      </w:r>
      <w:r>
        <w:rPr>
          <w:spacing w:val="-2"/>
        </w:rPr>
        <w:t>member.</w:t>
      </w:r>
    </w:p>
    <w:p w14:paraId="3078E88A" w14:textId="77777777" w:rsidR="001E560E" w:rsidRDefault="001E560E" w:rsidP="001E560E">
      <w:pPr>
        <w:pStyle w:val="BodyText"/>
        <w:ind w:firstLine="719"/>
      </w:pPr>
      <w:r>
        <w:t>For</w:t>
      </w:r>
      <w:r>
        <w:rPr>
          <w:spacing w:val="-3"/>
        </w:rPr>
        <w:t xml:space="preserve"> </w:t>
      </w:r>
      <w:r>
        <w:t>salary</w:t>
      </w:r>
      <w:r>
        <w:rPr>
          <w:spacing w:val="-8"/>
        </w:rPr>
        <w:t xml:space="preserve"> </w:t>
      </w:r>
      <w:r>
        <w:t>adjustments</w:t>
      </w:r>
      <w:r>
        <w:rPr>
          <w:spacing w:val="-3"/>
        </w:rPr>
        <w:t xml:space="preserve"> </w:t>
      </w:r>
      <w:r>
        <w:t>involving</w:t>
      </w:r>
      <w:r>
        <w:rPr>
          <w:spacing w:val="-6"/>
        </w:rPr>
        <w:t xml:space="preserve"> </w:t>
      </w:r>
      <w:r>
        <w:t>members</w:t>
      </w:r>
      <w:r>
        <w:rPr>
          <w:spacing w:val="-3"/>
        </w:rPr>
        <w:t xml:space="preserve"> </w:t>
      </w:r>
      <w:r>
        <w:t>of</w:t>
      </w:r>
      <w:r>
        <w:rPr>
          <w:spacing w:val="-5"/>
        </w:rPr>
        <w:t xml:space="preserve"> </w:t>
      </w:r>
      <w:r>
        <w:t>the</w:t>
      </w:r>
      <w:r>
        <w:rPr>
          <w:spacing w:val="-2"/>
        </w:rPr>
        <w:t xml:space="preserve"> </w:t>
      </w:r>
      <w:r>
        <w:t>professional</w:t>
      </w:r>
      <w:r>
        <w:rPr>
          <w:spacing w:val="-3"/>
        </w:rPr>
        <w:t xml:space="preserve"> </w:t>
      </w:r>
      <w:r>
        <w:t>athletic</w:t>
      </w:r>
      <w:r>
        <w:rPr>
          <w:spacing w:val="-3"/>
        </w:rPr>
        <w:t xml:space="preserve"> </w:t>
      </w:r>
      <w:r>
        <w:t>staff,</w:t>
      </w:r>
      <w:r>
        <w:rPr>
          <w:spacing w:val="-3"/>
        </w:rPr>
        <w:t xml:space="preserve"> </w:t>
      </w:r>
      <w:r>
        <w:t>see</w:t>
      </w:r>
      <w:r>
        <w:rPr>
          <w:spacing w:val="-4"/>
        </w:rPr>
        <w:t xml:space="preserve"> </w:t>
      </w:r>
      <w:r>
        <w:t>Article XVI, Professional Athletic Staff.</w:t>
      </w:r>
    </w:p>
    <w:p w14:paraId="297DB201" w14:textId="77777777" w:rsidR="001E560E" w:rsidRDefault="001E560E" w:rsidP="001E560E">
      <w:pPr>
        <w:pStyle w:val="ListParagraph"/>
        <w:numPr>
          <w:ilvl w:val="0"/>
          <w:numId w:val="7"/>
        </w:numPr>
        <w:tabs>
          <w:tab w:val="left" w:pos="1540"/>
        </w:tabs>
        <w:rPr>
          <w:sz w:val="24"/>
        </w:rPr>
      </w:pPr>
      <w:r>
        <w:rPr>
          <w:sz w:val="24"/>
          <w:u w:val="single"/>
        </w:rPr>
        <w:t>Procedures for</w:t>
      </w:r>
      <w:r>
        <w:rPr>
          <w:spacing w:val="-3"/>
          <w:sz w:val="24"/>
          <w:u w:val="single"/>
        </w:rPr>
        <w:t xml:space="preserve"> </w:t>
      </w:r>
      <w:r>
        <w:rPr>
          <w:sz w:val="24"/>
          <w:u w:val="single"/>
        </w:rPr>
        <w:t>Salary</w:t>
      </w:r>
      <w:r>
        <w:rPr>
          <w:spacing w:val="-3"/>
          <w:sz w:val="24"/>
          <w:u w:val="single"/>
        </w:rPr>
        <w:t xml:space="preserve"> </w:t>
      </w:r>
      <w:r>
        <w:rPr>
          <w:spacing w:val="-2"/>
          <w:sz w:val="24"/>
          <w:u w:val="single"/>
        </w:rPr>
        <w:t>Adjustment</w:t>
      </w:r>
    </w:p>
    <w:p w14:paraId="562288DC" w14:textId="77777777" w:rsidR="001E560E" w:rsidRDefault="001E560E" w:rsidP="001E560E">
      <w:pPr>
        <w:pStyle w:val="BodyText"/>
        <w:ind w:right="125" w:firstLine="719"/>
      </w:pPr>
      <w:r>
        <w:t>Copies</w:t>
      </w:r>
      <w:r>
        <w:rPr>
          <w:spacing w:val="-3"/>
        </w:rPr>
        <w:t xml:space="preserve"> </w:t>
      </w:r>
      <w:r>
        <w:t>of</w:t>
      </w:r>
      <w:r>
        <w:rPr>
          <w:spacing w:val="-4"/>
        </w:rPr>
        <w:t xml:space="preserve"> </w:t>
      </w:r>
      <w:r>
        <w:t>the</w:t>
      </w:r>
      <w:r>
        <w:rPr>
          <w:spacing w:val="-3"/>
        </w:rPr>
        <w:t xml:space="preserve"> </w:t>
      </w:r>
      <w:r>
        <w:t>documentation</w:t>
      </w:r>
      <w:r>
        <w:rPr>
          <w:spacing w:val="-3"/>
        </w:rPr>
        <w:t xml:space="preserve"> </w:t>
      </w:r>
      <w:r>
        <w:t>of</w:t>
      </w:r>
      <w:r>
        <w:rPr>
          <w:spacing w:val="-4"/>
        </w:rPr>
        <w:t xml:space="preserve"> </w:t>
      </w:r>
      <w:r>
        <w:t>the</w:t>
      </w:r>
      <w:r>
        <w:rPr>
          <w:spacing w:val="-3"/>
        </w:rPr>
        <w:t xml:space="preserve"> </w:t>
      </w:r>
      <w:r>
        <w:t>offer</w:t>
      </w:r>
      <w:r>
        <w:rPr>
          <w:spacing w:val="-3"/>
        </w:rPr>
        <w:t xml:space="preserve"> </w:t>
      </w:r>
      <w:r>
        <w:t>of</w:t>
      </w:r>
      <w:r>
        <w:rPr>
          <w:spacing w:val="-3"/>
        </w:rPr>
        <w:t xml:space="preserve"> </w:t>
      </w:r>
      <w:r>
        <w:t>employment</w:t>
      </w:r>
      <w:r>
        <w:rPr>
          <w:spacing w:val="-3"/>
        </w:rPr>
        <w:t xml:space="preserve"> </w:t>
      </w:r>
      <w:r>
        <w:t>from</w:t>
      </w:r>
      <w:r>
        <w:rPr>
          <w:spacing w:val="-3"/>
        </w:rPr>
        <w:t xml:space="preserve"> </w:t>
      </w:r>
      <w:r>
        <w:t>another</w:t>
      </w:r>
      <w:r>
        <w:rPr>
          <w:spacing w:val="-3"/>
        </w:rPr>
        <w:t xml:space="preserve"> </w:t>
      </w:r>
      <w:r>
        <w:t>employer,</w:t>
      </w:r>
      <w:r>
        <w:rPr>
          <w:spacing w:val="-3"/>
        </w:rPr>
        <w:t xml:space="preserve"> </w:t>
      </w:r>
      <w:r>
        <w:t>together with the University’s final written offer in response thereto, shall be forwarded to the AAUP by the University. If accepted, any such offer of increased compensation shall be made effective as the individual and the University may agree, but no such offer shall take effect retroactively.</w:t>
      </w:r>
    </w:p>
    <w:p w14:paraId="05BFB937" w14:textId="77777777" w:rsidR="00C62E51" w:rsidRPr="001E560E" w:rsidRDefault="00C62E51" w:rsidP="001E560E"/>
    <w:sectPr w:rsidR="00C62E51" w:rsidRPr="001E560E" w:rsidSect="001E560E">
      <w:headerReference w:type="even" r:id="rId7"/>
      <w:headerReference w:type="default" r:id="rId8"/>
      <w:footerReference w:type="even" r:id="rId9"/>
      <w:footerReference w:type="default" r:id="rId10"/>
      <w:headerReference w:type="first" r:id="rId11"/>
      <w:footerReference w:type="first" r:id="rId12"/>
      <w:pgSz w:w="12240" w:h="15840"/>
      <w:pgMar w:top="1820" w:right="1320" w:bottom="1420" w:left="1340" w:header="0" w:footer="1214" w:gutter="0"/>
      <w:pgNumType w:start="17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733C" w14:textId="77777777" w:rsidR="005139BB" w:rsidRDefault="005139BB">
      <w:r>
        <w:separator/>
      </w:r>
    </w:p>
  </w:endnote>
  <w:endnote w:type="continuationSeparator" w:id="0">
    <w:p w14:paraId="1AF9B14E" w14:textId="77777777" w:rsidR="005139BB" w:rsidRDefault="0051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921657"/>
      <w:docPartObj>
        <w:docPartGallery w:val="Page Numbers (Bottom of Page)"/>
        <w:docPartUnique/>
      </w:docPartObj>
    </w:sdtPr>
    <w:sdtContent>
      <w:p w14:paraId="4F9F3A08" w14:textId="5F189D94" w:rsidR="001E560E" w:rsidRDefault="001E560E" w:rsidP="00474D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71E298" w14:textId="77777777" w:rsidR="001E560E" w:rsidRDefault="001E5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7647338"/>
      <w:docPartObj>
        <w:docPartGallery w:val="Page Numbers (Bottom of Page)"/>
        <w:docPartUnique/>
      </w:docPartObj>
    </w:sdtPr>
    <w:sdtContent>
      <w:p w14:paraId="6813FD52" w14:textId="32631C47" w:rsidR="001E560E" w:rsidRDefault="001E560E" w:rsidP="00474D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sdtContent>
  </w:sdt>
  <w:p w14:paraId="54CB6203" w14:textId="7D814E8D"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2416" behindDoc="1" locked="0" layoutInCell="1" allowOverlap="1" wp14:anchorId="64BA0B7E" wp14:editId="64AF6271">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type w14:anchorId="64BA0B7E" id="_x0000_t202" coordsize="21600,21600" o:spt="202" path="m,l,21600r21600,l21600,xe">
              <v:stroke joinstyle="miter"/>
              <v:path gradientshapeok="t" o:connecttype="rect"/>
            </v:shapetype>
            <v:shape id="Textbox 160" o:spid="_x0000_s1026"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BE82" w14:textId="77777777" w:rsidR="001E560E" w:rsidRDefault="001E5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E92E" w14:textId="77777777" w:rsidR="005139BB" w:rsidRDefault="005139BB">
      <w:r>
        <w:separator/>
      </w:r>
    </w:p>
  </w:footnote>
  <w:footnote w:type="continuationSeparator" w:id="0">
    <w:p w14:paraId="2570BE46" w14:textId="77777777" w:rsidR="005139BB" w:rsidRDefault="0051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825B" w14:textId="77777777" w:rsidR="001E560E" w:rsidRDefault="001E5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CFF3" w14:textId="77777777" w:rsidR="001E560E" w:rsidRDefault="001E5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3B17" w14:textId="77777777" w:rsidR="001E560E" w:rsidRDefault="001E5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1E560E"/>
    <w:rsid w:val="003A2CAB"/>
    <w:rsid w:val="005139BB"/>
    <w:rsid w:val="005318E3"/>
    <w:rsid w:val="00777A0C"/>
    <w:rsid w:val="008B120F"/>
    <w:rsid w:val="00A72A42"/>
    <w:rsid w:val="00B121A4"/>
    <w:rsid w:val="00C17A39"/>
    <w:rsid w:val="00C62E51"/>
    <w:rsid w:val="00C977EA"/>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link w:val="BodyTextChar"/>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E560E"/>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E5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