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D" w:rsidRDefault="000375BD" w:rsidP="00C40394">
      <w:pPr>
        <w:spacing w:line="240" w:lineRule="atLeast"/>
        <w:rPr>
          <w:rFonts w:ascii="Calibri" w:hAnsi="Calibri" w:cs="Times New Roman"/>
        </w:rPr>
      </w:pPr>
    </w:p>
    <w:p w:rsidR="000375BD" w:rsidRPr="000375BD" w:rsidRDefault="000375BD" w:rsidP="00C40394">
      <w:pPr>
        <w:spacing w:line="240" w:lineRule="atLeast"/>
        <w:rPr>
          <w:rFonts w:ascii="Calibri" w:hAnsi="Calibri" w:cs="Times New Roman"/>
          <w:sz w:val="28"/>
          <w:szCs w:val="28"/>
        </w:rPr>
      </w:pPr>
      <w:r>
        <w:rPr>
          <w:rFonts w:ascii="Calibri" w:hAnsi="Calibri" w:cs="Times New Roman"/>
        </w:rPr>
        <w:t xml:space="preserve">       </w:t>
      </w:r>
      <w:r w:rsidR="00002431">
        <w:rPr>
          <w:rFonts w:ascii="Calibri" w:hAnsi="Calibri" w:cs="Times New Roman"/>
        </w:rPr>
        <w:t xml:space="preserve">                          </w:t>
      </w:r>
      <w:r>
        <w:rPr>
          <w:rFonts w:ascii="Calibri" w:hAnsi="Calibri" w:cs="Times New Roman"/>
          <w:sz w:val="28"/>
          <w:szCs w:val="28"/>
        </w:rPr>
        <w:t xml:space="preserve">More </w:t>
      </w:r>
      <w:r w:rsidR="00002431">
        <w:rPr>
          <w:rFonts w:ascii="Calibri" w:hAnsi="Calibri" w:cs="Times New Roman"/>
          <w:sz w:val="28"/>
          <w:szCs w:val="28"/>
        </w:rPr>
        <w:t xml:space="preserve">Bad Economic News </w:t>
      </w:r>
      <w:r>
        <w:rPr>
          <w:rFonts w:ascii="Calibri" w:hAnsi="Calibri" w:cs="Times New Roman"/>
          <w:sz w:val="28"/>
          <w:szCs w:val="28"/>
        </w:rPr>
        <w:t>for Kaiwen Education</w:t>
      </w:r>
    </w:p>
    <w:p w:rsidR="000375BD" w:rsidRDefault="000375BD" w:rsidP="00C40394">
      <w:pPr>
        <w:spacing w:line="240" w:lineRule="atLeast"/>
        <w:rPr>
          <w:rFonts w:ascii="Calibri" w:hAnsi="Calibri" w:cs="Times New Roman"/>
        </w:rPr>
      </w:pPr>
    </w:p>
    <w:p w:rsidR="00C40394" w:rsidRPr="00C40394" w:rsidRDefault="00C40394" w:rsidP="00C40394">
      <w:pPr>
        <w:spacing w:line="240" w:lineRule="atLeast"/>
        <w:rPr>
          <w:rFonts w:ascii="Calibri" w:hAnsi="Calibri" w:cs="Times New Roman"/>
          <w:sz w:val="22"/>
          <w:szCs w:val="22"/>
        </w:rPr>
      </w:pPr>
      <w:r w:rsidRPr="00C40394">
        <w:rPr>
          <w:rFonts w:ascii="Calibri" w:hAnsi="Calibri" w:cs="Times New Roman"/>
        </w:rPr>
        <w:t xml:space="preserve">The following represents key information </w:t>
      </w:r>
      <w:r>
        <w:rPr>
          <w:rFonts w:ascii="Calibri" w:hAnsi="Calibri" w:cs="Times New Roman"/>
        </w:rPr>
        <w:t xml:space="preserve">that has been drawn </w:t>
      </w:r>
      <w:r w:rsidRPr="00C40394">
        <w:rPr>
          <w:rFonts w:ascii="Calibri" w:hAnsi="Calibri" w:cs="Times New Roman"/>
        </w:rPr>
        <w:t>from Kaiwen Education's 2018 Semi-annual</w:t>
      </w:r>
      <w:proofErr w:type="gramStart"/>
      <w:r w:rsidRPr="00C40394">
        <w:rPr>
          <w:rFonts w:ascii="Calibri" w:hAnsi="Calibri" w:cs="Times New Roman"/>
        </w:rPr>
        <w:t>  Report</w:t>
      </w:r>
      <w:proofErr w:type="gramEnd"/>
      <w:r w:rsidRPr="00C40394">
        <w:rPr>
          <w:rFonts w:ascii="Calibri" w:hAnsi="Calibri" w:cs="Times New Roman"/>
        </w:rPr>
        <w:t xml:space="preserve">, dated August 7, 2018. </w:t>
      </w:r>
      <w:r w:rsidR="000375BD">
        <w:rPr>
          <w:rFonts w:ascii="Calibri" w:hAnsi="Calibri" w:cs="Times New Roman"/>
        </w:rPr>
        <w:t>The link to the full report</w:t>
      </w:r>
      <w:r w:rsidRPr="00C40394">
        <w:rPr>
          <w:rFonts w:ascii="Calibri" w:hAnsi="Calibri" w:cs="Times New Roman"/>
        </w:rPr>
        <w:t xml:space="preserve"> can be found in Item 1, below. However, because of the distraction of </w:t>
      </w:r>
      <w:r>
        <w:rPr>
          <w:rFonts w:ascii="Calibri" w:hAnsi="Calibri" w:cs="Times New Roman"/>
        </w:rPr>
        <w:t>pop-up ads on that site we</w:t>
      </w:r>
      <w:r w:rsidRPr="00C40394">
        <w:rPr>
          <w:rFonts w:ascii="Calibri" w:hAnsi="Calibri" w:cs="Times New Roman"/>
        </w:rPr>
        <w:t xml:space="preserve"> have attached the complete report</w:t>
      </w:r>
      <w:r w:rsidR="000375BD">
        <w:rPr>
          <w:rFonts w:ascii="Calibri" w:hAnsi="Calibri" w:cs="Times New Roman"/>
        </w:rPr>
        <w:t xml:space="preserve"> here</w:t>
      </w:r>
      <w:r w:rsidRPr="00C40394">
        <w:rPr>
          <w:rFonts w:ascii="Calibri" w:hAnsi="Calibri" w:cs="Times New Roman"/>
        </w:rPr>
        <w:t xml:space="preserve">. Some of the information </w:t>
      </w:r>
      <w:r w:rsidR="000375BD">
        <w:rPr>
          <w:rFonts w:ascii="Calibri" w:hAnsi="Calibri" w:cs="Times New Roman"/>
        </w:rPr>
        <w:t>from that report</w:t>
      </w:r>
      <w:r w:rsidRPr="00C40394">
        <w:rPr>
          <w:rFonts w:ascii="Calibri" w:hAnsi="Calibri" w:cs="Times New Roman"/>
        </w:rPr>
        <w:t xml:space="preserve"> appears in the AAUP's recent "</w:t>
      </w:r>
      <w:hyperlink r:id="rId5" w:history="1">
        <w:r w:rsidRPr="00C40394">
          <w:rPr>
            <w:rFonts w:ascii="Calibri" w:hAnsi="Calibri" w:cs="Times New Roman"/>
            <w:color w:val="0000FF"/>
            <w:u w:val="single"/>
          </w:rPr>
          <w:t>Claims vs. Reality"</w:t>
        </w:r>
      </w:hyperlink>
      <w:r w:rsidRPr="00C40394">
        <w:rPr>
          <w:rFonts w:ascii="Calibri" w:hAnsi="Calibri" w:cs="Times New Roman"/>
        </w:rPr>
        <w:t xml:space="preserve"> memorandum. The page numbers indicated below refer to page numbers in the report. </w:t>
      </w:r>
    </w:p>
    <w:p w:rsidR="00C40394" w:rsidRPr="00C40394" w:rsidRDefault="00C40394" w:rsidP="00C40394">
      <w:pPr>
        <w:rPr>
          <w:rFonts w:ascii="Calibri" w:hAnsi="Calibri" w:cs="Times New Roman"/>
          <w:sz w:val="22"/>
          <w:szCs w:val="22"/>
        </w:rPr>
      </w:pPr>
      <w:r w:rsidRPr="00C40394">
        <w:rPr>
          <w:rFonts w:ascii="Times New Roman" w:hAnsi="Times New Roman" w:cs="Times New Roman"/>
        </w:rPr>
        <w:t> </w:t>
      </w:r>
    </w:p>
    <w:p w:rsidR="00C40394" w:rsidRPr="00C40394" w:rsidRDefault="00C40394" w:rsidP="00C40394">
      <w:pPr>
        <w:spacing w:after="200" w:line="276" w:lineRule="auto"/>
        <w:ind w:left="720"/>
        <w:rPr>
          <w:rFonts w:ascii="Calibri" w:hAnsi="Calibri" w:cs="Times New Roman"/>
          <w:sz w:val="22"/>
          <w:szCs w:val="22"/>
        </w:rPr>
      </w:pPr>
      <w:r w:rsidRPr="00C40394">
        <w:rPr>
          <w:rFonts w:ascii="Calibri" w:hAnsi="Calibri" w:cs="Times New Roman"/>
        </w:rPr>
        <w:t>1.</w:t>
      </w:r>
      <w:r w:rsidRPr="00C40394">
        <w:rPr>
          <w:rFonts w:ascii="Times New Roman" w:hAnsi="Times New Roman" w:cs="Times New Roman"/>
          <w:sz w:val="14"/>
          <w:szCs w:val="14"/>
        </w:rPr>
        <w:t xml:space="preserve">      </w:t>
      </w:r>
      <w:r w:rsidRPr="00C40394">
        <w:rPr>
          <w:rFonts w:ascii="Calibri" w:hAnsi="Calibri" w:cs="Times New Roman"/>
        </w:rPr>
        <w:t xml:space="preserve">Kaiwen Education’s revenue, expenses, and net income are shown in its Income Statement, which reports on company activity over a period of time, in this case the </w:t>
      </w:r>
      <w:r w:rsidRPr="00C40394">
        <w:rPr>
          <w:rFonts w:ascii="Calibri" w:hAnsi="Calibri" w:cs="Times New Roman"/>
          <w:b/>
          <w:bCs/>
        </w:rPr>
        <w:t>first six months of 2018</w:t>
      </w:r>
      <w:r w:rsidRPr="00C40394">
        <w:rPr>
          <w:rFonts w:ascii="Calibri" w:hAnsi="Calibri" w:cs="Times New Roman"/>
        </w:rPr>
        <w:t xml:space="preserve">. For this period Kaiwen reports a Net Loss of 51.7 million Yuan on Revenues of 89.4 million Yuan, </w:t>
      </w:r>
      <w:r w:rsidRPr="00C40394">
        <w:rPr>
          <w:rFonts w:ascii="Calibri" w:hAnsi="Calibri" w:cs="Times New Roman"/>
          <w:b/>
          <w:bCs/>
        </w:rPr>
        <w:t xml:space="preserve">a loss of 57.8% </w:t>
      </w:r>
      <w:hyperlink r:id="rId6" w:tgtFrame="_blank" w:history="1">
        <w:r w:rsidRPr="00C40394">
          <w:rPr>
            <w:rFonts w:ascii="Calibri" w:hAnsi="Calibri" w:cs="Times New Roman"/>
            <w:color w:val="0000FF"/>
            <w:sz w:val="22"/>
            <w:szCs w:val="22"/>
            <w:u w:val="single"/>
          </w:rPr>
          <w:t>http://finance04.com/sbdm/stock/share,disc,2018-08-08,002659,0000000000000ltho6.shtml</w:t>
        </w:r>
      </w:hyperlink>
      <w:r w:rsidRPr="00C40394">
        <w:rPr>
          <w:rFonts w:ascii="Calibri" w:hAnsi="Calibri" w:cs="Times New Roman"/>
          <w:sz w:val="22"/>
          <w:szCs w:val="22"/>
        </w:rPr>
        <w:t xml:space="preserve"> </w:t>
      </w:r>
      <w:r w:rsidRPr="00C40394">
        <w:rPr>
          <w:rFonts w:ascii="Calibri" w:hAnsi="Calibri" w:cs="Times New Roman"/>
        </w:rPr>
        <w:t xml:space="preserve">– see page 5. </w:t>
      </w:r>
      <w:r w:rsidRPr="00C40394">
        <w:rPr>
          <w:rFonts w:ascii="Calibri" w:hAnsi="Calibri" w:cs="Times New Roman"/>
          <w:b/>
          <w:bCs/>
        </w:rPr>
        <w:t>This follows a first-quarter 2018 Net Loss of 74.3%</w:t>
      </w:r>
      <w:r w:rsidRPr="00C40394">
        <w:rPr>
          <w:rFonts w:ascii="Calibri" w:hAnsi="Calibri" w:cs="Times New Roman"/>
        </w:rPr>
        <w:t xml:space="preserve">, based on a Net Loss of 30.1 million Yuan on Revenues of 40.5 million Yuan </w:t>
      </w:r>
      <w:hyperlink r:id="rId7" w:tgtFrame="_blank" w:history="1">
        <w:r w:rsidRPr="00C40394">
          <w:rPr>
            <w:rFonts w:ascii="Calibri" w:hAnsi="Calibri" w:cs="Times New Roman"/>
            <w:color w:val="0000FF"/>
            <w:u w:val="single"/>
          </w:rPr>
          <w:t>https://www.barrons.com/quote/stock/cn/xshe/002659/financials/</w:t>
        </w:r>
      </w:hyperlink>
      <w:r w:rsidRPr="00C40394">
        <w:rPr>
          <w:rFonts w:ascii="Calibri" w:hAnsi="Calibri" w:cs="Times New Roman"/>
        </w:rPr>
        <w:t>.</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2.</w:t>
      </w:r>
      <w:r w:rsidRPr="00C40394">
        <w:rPr>
          <w:rFonts w:ascii="Times New Roman" w:hAnsi="Times New Roman" w:cs="Times New Roman"/>
          <w:sz w:val="14"/>
          <w:szCs w:val="14"/>
        </w:rPr>
        <w:t xml:space="preserve">      </w:t>
      </w:r>
      <w:r w:rsidRPr="00C40394">
        <w:rPr>
          <w:rFonts w:ascii="Calibri" w:hAnsi="Calibri" w:cs="Times New Roman"/>
          <w:b/>
          <w:bCs/>
        </w:rPr>
        <w:t>The Income Statement for</w:t>
      </w:r>
      <w:r w:rsidRPr="00C40394">
        <w:rPr>
          <w:rFonts w:ascii="Calibri" w:hAnsi="Calibri" w:cs="Times New Roman"/>
        </w:rPr>
        <w:t xml:space="preserve"> </w:t>
      </w:r>
      <w:r w:rsidRPr="00C40394">
        <w:rPr>
          <w:rFonts w:ascii="Calibri" w:hAnsi="Calibri" w:cs="Times New Roman"/>
          <w:b/>
          <w:bCs/>
        </w:rPr>
        <w:t>the first six months of 2018 includes income of 595,900 Yuan from a government subsidy, not from company operations.</w:t>
      </w:r>
      <w:r w:rsidRPr="00C40394">
        <w:rPr>
          <w:rFonts w:ascii="Calibri" w:hAnsi="Calibri" w:cs="Times New Roman"/>
        </w:rPr>
        <w:t xml:space="preserve"> </w:t>
      </w:r>
      <w:r w:rsidRPr="00C40394">
        <w:rPr>
          <w:rFonts w:ascii="Calibri" w:hAnsi="Calibri" w:cs="Times New Roman"/>
          <w:b/>
          <w:bCs/>
        </w:rPr>
        <w:t>Without that income supplement the reported Net Loss for the first six month</w:t>
      </w:r>
      <w:r w:rsidR="00002431">
        <w:rPr>
          <w:rFonts w:ascii="Calibri" w:hAnsi="Calibri" w:cs="Times New Roman"/>
          <w:b/>
          <w:bCs/>
        </w:rPr>
        <w:t>s</w:t>
      </w:r>
      <w:r w:rsidRPr="00C40394">
        <w:rPr>
          <w:rFonts w:ascii="Calibri" w:hAnsi="Calibri" w:cs="Times New Roman"/>
          <w:b/>
          <w:bCs/>
        </w:rPr>
        <w:t xml:space="preserve"> of 2018 would have been greater – 58.5%.</w:t>
      </w:r>
      <w:r w:rsidRPr="00C40394">
        <w:rPr>
          <w:rFonts w:ascii="Calibri" w:hAnsi="Calibri" w:cs="Times New Roman"/>
        </w:rPr>
        <w:t xml:space="preserve"> (p. 6, 135)</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3.</w:t>
      </w:r>
      <w:r w:rsidRPr="00C40394">
        <w:rPr>
          <w:rFonts w:ascii="Times New Roman" w:hAnsi="Times New Roman" w:cs="Times New Roman"/>
          <w:sz w:val="14"/>
          <w:szCs w:val="14"/>
        </w:rPr>
        <w:t>     </w:t>
      </w:r>
      <w:r w:rsidRPr="00C40394">
        <w:rPr>
          <w:rFonts w:ascii="Calibri" w:hAnsi="Calibri" w:cs="Times New Roman"/>
          <w:b/>
          <w:bCs/>
        </w:rPr>
        <w:t xml:space="preserve">Looking ahead, Kaiwen projects a Net Loss of from 65 to 75 million Yuan for the period, January through September 2018. </w:t>
      </w:r>
      <w:r w:rsidRPr="00C40394">
        <w:rPr>
          <w:rFonts w:ascii="Calibri" w:hAnsi="Calibri" w:cs="Times New Roman"/>
        </w:rPr>
        <w:t>(p. 19)</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4.</w:t>
      </w:r>
      <w:r w:rsidRPr="00C40394">
        <w:rPr>
          <w:rFonts w:ascii="Times New Roman" w:hAnsi="Times New Roman" w:cs="Times New Roman"/>
          <w:sz w:val="14"/>
          <w:szCs w:val="14"/>
        </w:rPr>
        <w:t>     </w:t>
      </w:r>
      <w:r w:rsidRPr="00C40394">
        <w:rPr>
          <w:rFonts w:ascii="Times New Roman" w:hAnsi="Times New Roman" w:cs="Times New Roman"/>
          <w:b/>
          <w:bCs/>
          <w:sz w:val="14"/>
          <w:szCs w:val="14"/>
        </w:rPr>
        <w:t xml:space="preserve"> </w:t>
      </w:r>
      <w:r w:rsidRPr="00C40394">
        <w:rPr>
          <w:rFonts w:ascii="Calibri" w:hAnsi="Calibri" w:cs="Times New Roman"/>
          <w:b/>
          <w:bCs/>
        </w:rPr>
        <w:t>Compared with the same six-month period in 2017 Revenue fell 61.4%,</w:t>
      </w:r>
      <w:r w:rsidRPr="00C40394">
        <w:rPr>
          <w:rFonts w:ascii="Calibri" w:hAnsi="Calibri" w:cs="Times New Roman"/>
        </w:rPr>
        <w:t xml:space="preserve"> from 266.9 million Yuan in 2017 to 89.4 million Yuan in 2018. Also of concern is the growth in Net Loss. </w:t>
      </w:r>
      <w:r w:rsidRPr="00C40394">
        <w:rPr>
          <w:rFonts w:ascii="Calibri" w:hAnsi="Calibri" w:cs="Times New Roman"/>
          <w:b/>
          <w:bCs/>
        </w:rPr>
        <w:t>Comparing the same two periods, Net Loss grew from 25.3 million Yuan in 2017 to 51.7 million Yuan in 2018</w:t>
      </w:r>
      <w:r w:rsidRPr="00C40394">
        <w:rPr>
          <w:rFonts w:ascii="Calibri" w:hAnsi="Calibri" w:cs="Times New Roman"/>
        </w:rPr>
        <w:t xml:space="preserve"> – a growth of 104.2%. Earnings per share declined 100%, from -.05 Yuan per share to -.10 Yuan per share, and return-on-equity fell from -1.14% to -2.37%. (p. 5)</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5.</w:t>
      </w:r>
      <w:r w:rsidRPr="00C40394">
        <w:rPr>
          <w:rFonts w:ascii="Times New Roman" w:hAnsi="Times New Roman" w:cs="Times New Roman"/>
          <w:sz w:val="14"/>
          <w:szCs w:val="14"/>
        </w:rPr>
        <w:t xml:space="preserve">      </w:t>
      </w:r>
      <w:r w:rsidRPr="00C40394">
        <w:rPr>
          <w:rFonts w:ascii="Calibri" w:hAnsi="Calibri" w:cs="Times New Roman"/>
          <w:b/>
          <w:bCs/>
        </w:rPr>
        <w:t xml:space="preserve">The decline in Kaiwen Revenue from 2017 to 2018 is reported to be due to the cessation of income from Kaiwen’s former bridge and steel fabricating business (Jiangsu </w:t>
      </w:r>
      <w:proofErr w:type="spellStart"/>
      <w:r w:rsidRPr="00C40394">
        <w:rPr>
          <w:rFonts w:ascii="Calibri" w:hAnsi="Calibri" w:cs="Times New Roman"/>
          <w:b/>
          <w:bCs/>
        </w:rPr>
        <w:t>Zhongtai</w:t>
      </w:r>
      <w:proofErr w:type="spellEnd"/>
      <w:r w:rsidRPr="00C40394">
        <w:rPr>
          <w:rFonts w:ascii="Calibri" w:hAnsi="Calibri" w:cs="Times New Roman"/>
          <w:b/>
          <w:bCs/>
        </w:rPr>
        <w:t xml:space="preserve"> Bridge Steel Structure Company). That business, which the administration has sought to clearly separate from Kaiwen, accounted for 88.2% of Revenue reported for the first six months of 2017 </w:t>
      </w:r>
      <w:r w:rsidRPr="00C40394">
        <w:rPr>
          <w:rFonts w:ascii="Calibri" w:hAnsi="Calibri" w:cs="Times New Roman"/>
        </w:rPr>
        <w:t>(204.0 million Yuan) and none of the Revenue reported for the first six months of 2018. (p.13; and Memorandum to the Rider University community from the Westminster Choir College Acquisition Corporation, August 8, 2018)</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b/>
          <w:bCs/>
        </w:rPr>
        <w:t>Of the 89.4 million Yuan Revenue reported for the first six months of 2018, 91.6% (81.9 million Yuan) was earned from Kaiwen’s education business, while 8.4% (7.5 million Yuan) was rental income from apartments leased to Kaiwen faculty and others.</w:t>
      </w:r>
      <w:r w:rsidRPr="00C40394">
        <w:rPr>
          <w:rFonts w:ascii="Calibri" w:hAnsi="Calibri" w:cs="Times New Roman"/>
        </w:rPr>
        <w:t xml:space="preserve"> (p. 14)</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The breakdown of the 81.9 million Yuan revenue from education is as follows: “Tuition and fees”, 76.3 million Yuan; and “Training fee income”, 5.5 million Yuan – perhaps fees earned from Kaiwen sports camps in China and abroad. (p. 14)</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6.</w:t>
      </w:r>
      <w:r w:rsidRPr="00C40394">
        <w:rPr>
          <w:rFonts w:ascii="Times New Roman" w:hAnsi="Times New Roman" w:cs="Times New Roman"/>
          <w:sz w:val="14"/>
          <w:szCs w:val="14"/>
        </w:rPr>
        <w:t xml:space="preserve">      </w:t>
      </w:r>
      <w:r w:rsidRPr="00C40394">
        <w:rPr>
          <w:rFonts w:ascii="Calibri" w:hAnsi="Calibri" w:cs="Times New Roman"/>
        </w:rPr>
        <w:t>Kaiwen’s Balance Sheet through June 30, 2018 reports company assets and liabilities and the difference between the two – owner’s equity or company net worth – on that particular day, that is, June 30.</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Default="00C40394" w:rsidP="00C40394">
      <w:pPr>
        <w:spacing w:line="276" w:lineRule="auto"/>
        <w:ind w:left="720"/>
        <w:rPr>
          <w:rFonts w:ascii="Calibri" w:hAnsi="Calibri" w:cs="Times New Roman"/>
        </w:rPr>
      </w:pPr>
      <w:r w:rsidRPr="00C40394">
        <w:rPr>
          <w:rFonts w:ascii="Calibri" w:hAnsi="Calibri" w:cs="Times New Roman"/>
        </w:rPr>
        <w:t xml:space="preserve">Of concern because it indicates the inability to satisfy company debts is that </w:t>
      </w:r>
      <w:r w:rsidRPr="00C40394">
        <w:rPr>
          <w:rFonts w:ascii="Calibri" w:hAnsi="Calibri" w:cs="Times New Roman"/>
          <w:b/>
          <w:bCs/>
        </w:rPr>
        <w:t xml:space="preserve">on June 30 Kaiwen’s cash and cash equivalents (e.g., marketable securities) of 165.8 million Yuan were only 19% - about one fifth – of the company’s short-term financial liabilities or obligations </w:t>
      </w:r>
      <w:r w:rsidRPr="00C40394">
        <w:rPr>
          <w:rFonts w:ascii="Calibri" w:hAnsi="Calibri" w:cs="Times New Roman"/>
        </w:rPr>
        <w:t xml:space="preserve">(861.9 million Yuan). (p. 38-41) </w:t>
      </w:r>
      <w:proofErr w:type="gramStart"/>
      <w:r w:rsidRPr="00C40394">
        <w:rPr>
          <w:rFonts w:ascii="Calibri" w:hAnsi="Calibri" w:cs="Times New Roman"/>
        </w:rPr>
        <w:t>This</w:t>
      </w:r>
      <w:proofErr w:type="gramEnd"/>
      <w:r w:rsidRPr="00C40394">
        <w:rPr>
          <w:rFonts w:ascii="Calibri" w:hAnsi="Calibri" w:cs="Times New Roman"/>
        </w:rPr>
        <w:t xml:space="preserve"> continues the pattern of very low cash to short-term debt ratios we have seen for this company </w:t>
      </w:r>
      <w:hyperlink r:id="rId8" w:tgtFrame="_blank" w:history="1">
        <w:r w:rsidRPr="00C40394">
          <w:rPr>
            <w:rFonts w:ascii="Calibri" w:hAnsi="Calibri" w:cs="Times New Roman"/>
            <w:color w:val="0000FF"/>
            <w:u w:val="single"/>
          </w:rPr>
          <w:t>https://quotes.wsj.com/CN/XSHE/002659/financials</w:t>
        </w:r>
      </w:hyperlink>
      <w:r w:rsidRPr="00C40394">
        <w:rPr>
          <w:rFonts w:ascii="Calibri" w:hAnsi="Calibri" w:cs="Times New Roman"/>
        </w:rPr>
        <w:t>.</w:t>
      </w:r>
    </w:p>
    <w:p w:rsidR="005B4BEF" w:rsidRDefault="005B4BEF" w:rsidP="00C40394">
      <w:pPr>
        <w:spacing w:line="276" w:lineRule="auto"/>
        <w:ind w:left="720"/>
        <w:rPr>
          <w:rFonts w:ascii="Calibri" w:hAnsi="Calibri" w:cs="Times New Roman"/>
        </w:rPr>
      </w:pPr>
    </w:p>
    <w:p w:rsidR="005B4BEF" w:rsidRPr="00C40394" w:rsidRDefault="005B4BEF" w:rsidP="00C40394">
      <w:pPr>
        <w:spacing w:line="276" w:lineRule="auto"/>
        <w:ind w:left="720"/>
        <w:rPr>
          <w:rFonts w:ascii="Calibri" w:hAnsi="Calibri" w:cs="Times New Roman"/>
          <w:sz w:val="22"/>
          <w:szCs w:val="22"/>
        </w:rPr>
      </w:pPr>
      <w:r>
        <w:rPr>
          <w:rFonts w:eastAsia="Times New Roman" w:cs="Times New Roman"/>
          <w:b/>
          <w:bCs/>
        </w:rPr>
        <w:t xml:space="preserve">This 165 million Yuan of cash was recently cited specifically by the administration to show that Kaiwen had access to ample funding sources. However, it is obvious that there are many current claims on these funds. </w:t>
      </w:r>
      <w:r>
        <w:rPr>
          <w:rFonts w:eastAsia="Times New Roman" w:cs="Times New Roman"/>
        </w:rPr>
        <w:t>(Memorandum to the Rider University community from the Westminster Choir College Acquisition Corporation, August 8, 2018)</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Default="00C40394" w:rsidP="00C40394">
      <w:pPr>
        <w:spacing w:line="276" w:lineRule="auto"/>
        <w:ind w:left="720"/>
        <w:rPr>
          <w:rFonts w:ascii="Calibri" w:hAnsi="Calibri" w:cs="Times New Roman"/>
        </w:rPr>
      </w:pPr>
      <w:r w:rsidRPr="00C40394">
        <w:rPr>
          <w:rFonts w:ascii="Calibri" w:hAnsi="Calibri" w:cs="Times New Roman"/>
          <w:b/>
          <w:bCs/>
        </w:rPr>
        <w:t>The most significant short-term liabilities were (1) a short-term loan of 249.5 million Yuan</w:t>
      </w:r>
      <w:r w:rsidRPr="00C40394">
        <w:rPr>
          <w:rFonts w:ascii="Calibri" w:hAnsi="Calibri" w:cs="Times New Roman"/>
        </w:rPr>
        <w:t xml:space="preserve">, with the source of the loan not identified; (2) bills and accounts payable of 377.5 million Yuan; and (3) other payables of 234.9 million Yuan – </w:t>
      </w:r>
      <w:r w:rsidRPr="00C40394">
        <w:rPr>
          <w:rFonts w:ascii="Calibri" w:hAnsi="Calibri" w:cs="Times New Roman"/>
          <w:b/>
          <w:bCs/>
        </w:rPr>
        <w:t>which included</w:t>
      </w:r>
      <w:r w:rsidRPr="00C40394">
        <w:rPr>
          <w:rFonts w:ascii="Calibri" w:hAnsi="Calibri" w:cs="Times New Roman"/>
        </w:rPr>
        <w:t xml:space="preserve"> </w:t>
      </w:r>
      <w:r w:rsidRPr="00C40394">
        <w:rPr>
          <w:rFonts w:ascii="Calibri" w:hAnsi="Calibri" w:cs="Times New Roman"/>
          <w:b/>
          <w:bCs/>
        </w:rPr>
        <w:t xml:space="preserve">a sizable payment of 193.1 million Yuan to Kaiwen’s controlling company, </w:t>
      </w:r>
      <w:proofErr w:type="spellStart"/>
      <w:r w:rsidRPr="00C40394">
        <w:rPr>
          <w:rFonts w:ascii="Calibri" w:hAnsi="Calibri" w:cs="Times New Roman"/>
          <w:b/>
          <w:bCs/>
        </w:rPr>
        <w:t>Badachu</w:t>
      </w:r>
      <w:proofErr w:type="spellEnd"/>
      <w:r w:rsidRPr="00C40394">
        <w:rPr>
          <w:rFonts w:ascii="Calibri" w:hAnsi="Calibri" w:cs="Times New Roman"/>
          <w:b/>
          <w:bCs/>
        </w:rPr>
        <w:t xml:space="preserve"> Holdings Group</w:t>
      </w:r>
      <w:r w:rsidRPr="00C40394">
        <w:rPr>
          <w:rFonts w:ascii="Calibri" w:hAnsi="Calibri" w:cs="Times New Roman"/>
        </w:rPr>
        <w:t>.  </w:t>
      </w:r>
      <w:r w:rsidRPr="00C40394">
        <w:rPr>
          <w:rFonts w:ascii="Calibri" w:hAnsi="Calibri" w:cs="Times New Roman"/>
          <w:b/>
          <w:bCs/>
        </w:rPr>
        <w:t xml:space="preserve">A short-term loan of 280 million Yuan, with the lender not identified, is also reported for the first six months of 2017. </w:t>
      </w:r>
      <w:r w:rsidRPr="00C40394">
        <w:rPr>
          <w:rFonts w:ascii="Calibri" w:hAnsi="Calibri" w:cs="Times New Roman"/>
        </w:rPr>
        <w:t>(p. 15, 39-40, 127)</w:t>
      </w:r>
    </w:p>
    <w:p w:rsidR="0044614F" w:rsidRDefault="0044614F" w:rsidP="00C40394">
      <w:pPr>
        <w:spacing w:line="276" w:lineRule="auto"/>
        <w:ind w:left="720"/>
        <w:rPr>
          <w:rFonts w:ascii="Calibri" w:hAnsi="Calibri" w:cs="Times New Roman"/>
          <w:sz w:val="22"/>
          <w:szCs w:val="22"/>
        </w:rPr>
      </w:pPr>
    </w:p>
    <w:p w:rsidR="0044614F" w:rsidRPr="00C40394" w:rsidRDefault="0044614F" w:rsidP="00C40394">
      <w:pPr>
        <w:spacing w:line="276" w:lineRule="auto"/>
        <w:ind w:left="720"/>
        <w:rPr>
          <w:rFonts w:ascii="Calibri" w:hAnsi="Calibri" w:cs="Times New Roman"/>
          <w:sz w:val="22"/>
          <w:szCs w:val="22"/>
        </w:rPr>
      </w:pP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7.</w:t>
      </w:r>
      <w:r w:rsidRPr="00C40394">
        <w:rPr>
          <w:rFonts w:ascii="Times New Roman" w:hAnsi="Times New Roman" w:cs="Times New Roman"/>
          <w:sz w:val="14"/>
          <w:szCs w:val="14"/>
        </w:rPr>
        <w:t xml:space="preserve">      </w:t>
      </w:r>
      <w:r w:rsidRPr="00C40394">
        <w:rPr>
          <w:rFonts w:ascii="Calibri" w:hAnsi="Calibri" w:cs="Times New Roman"/>
        </w:rPr>
        <w:t xml:space="preserve">Among Kaiwen’s listed assets two are worthwhile noting here. </w:t>
      </w:r>
      <w:r w:rsidRPr="00C40394">
        <w:rPr>
          <w:rFonts w:ascii="Calibri" w:hAnsi="Calibri" w:cs="Times New Roman"/>
          <w:b/>
          <w:bCs/>
        </w:rPr>
        <w:t xml:space="preserve">One listed asset is simply described as a “prepayment” of US $1 million to Rider University, which may constitute a down-payment on the purchase of Westminster, evidence of “consideration” in contract law, or a partial or the full fee paid to Rider for managing Westminster in the coming academic year. </w:t>
      </w:r>
      <w:r w:rsidRPr="00C40394">
        <w:rPr>
          <w:rFonts w:ascii="Calibri" w:hAnsi="Calibri" w:cs="Times New Roman"/>
        </w:rPr>
        <w:t>(p. 38) No further explanation of the prepayment is provided in the report.</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b/>
          <w:bCs/>
        </w:rPr>
        <w:t>A second listed and very sizable asset – it’s an incredible one third of all Kaiwen assets - is “Intangible assets”. </w:t>
      </w:r>
      <w:r w:rsidRPr="00C40394">
        <w:rPr>
          <w:rFonts w:ascii="Calibri" w:hAnsi="Calibri" w:cs="Times New Roman"/>
        </w:rPr>
        <w:t xml:space="preserve"> The listing of this asset and especially its size continues a Kaiwen practice that raised concerns in previous analyses of its balance sheets.</w:t>
      </w:r>
      <w:r w:rsidRPr="00C40394">
        <w:rPr>
          <w:rFonts w:ascii="Calibri" w:hAnsi="Calibri" w:cs="Times New Roman"/>
          <w:b/>
          <w:bCs/>
        </w:rPr>
        <w:t xml:space="preserve"> In the current report Intangible Assets are valued at 946.4 million Yuan, similar to their value at the end of 2017. This asset does not include the asset Goodwill, which Kaiwen lists separately and is valued at 214.7 million Yuan.</w:t>
      </w:r>
      <w:r w:rsidRPr="00C40394">
        <w:rPr>
          <w:rFonts w:ascii="Calibri" w:hAnsi="Calibri" w:cs="Times New Roman"/>
        </w:rPr>
        <w:t xml:space="preserve"> (p. 39) (The Goodwill associated with two of Kaiwen’s listed subsidiaries, Kevin </w:t>
      </w:r>
      <w:proofErr w:type="spellStart"/>
      <w:r w:rsidRPr="00C40394">
        <w:rPr>
          <w:rFonts w:ascii="Calibri" w:hAnsi="Calibri" w:cs="Times New Roman"/>
        </w:rPr>
        <w:t>Zhixin</w:t>
      </w:r>
      <w:proofErr w:type="spellEnd"/>
      <w:r w:rsidRPr="00C40394">
        <w:rPr>
          <w:rFonts w:ascii="Calibri" w:hAnsi="Calibri" w:cs="Times New Roman"/>
        </w:rPr>
        <w:t xml:space="preserve"> ( Goodwill of 186.1 million Yuan) and Kevin </w:t>
      </w:r>
      <w:proofErr w:type="spellStart"/>
      <w:r w:rsidRPr="00C40394">
        <w:rPr>
          <w:rFonts w:ascii="Calibri" w:hAnsi="Calibri" w:cs="Times New Roman"/>
        </w:rPr>
        <w:t>Ruixin</w:t>
      </w:r>
      <w:proofErr w:type="spellEnd"/>
      <w:r w:rsidRPr="00C40394">
        <w:rPr>
          <w:rFonts w:ascii="Calibri" w:hAnsi="Calibri" w:cs="Times New Roman"/>
        </w:rPr>
        <w:t xml:space="preserve"> (Goodwill of 27.6 million Yuan), should reflect, according to U.S. accounting standards, only the amount paid for those units above their company or book values. That this accounting standard was followed at Kaiwen cannot be determined from the report.) (p. 96)</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xml:space="preserve">In practice, intangible assets, exclusive of Goodwill, arise from brand recognition, patents, trademarks, and copyrights. </w:t>
      </w:r>
      <w:r w:rsidRPr="00C40394">
        <w:rPr>
          <w:rFonts w:ascii="Calibri" w:hAnsi="Calibri" w:cs="Times New Roman"/>
          <w:b/>
          <w:bCs/>
        </w:rPr>
        <w:t>Because Kaiwen is both a new and struggling company and offers no objective and compelling evidence in this report, on its website, or elsewhere to support its claim of achieving a prominent position in the international K-12 education market,</w:t>
      </w:r>
      <w:r w:rsidRPr="00C40394">
        <w:rPr>
          <w:rFonts w:ascii="Calibri" w:hAnsi="Calibri" w:cs="Times New Roman"/>
        </w:rPr>
        <w:t xml:space="preserve"> </w:t>
      </w:r>
      <w:r w:rsidRPr="00C40394">
        <w:rPr>
          <w:rFonts w:ascii="Calibri" w:hAnsi="Calibri" w:cs="Times New Roman"/>
          <w:b/>
          <w:bCs/>
        </w:rPr>
        <w:t xml:space="preserve">one is prone to conclude that the value assigned to “Intangible assets” is unreasonable and reflects an overinflated view of the company’s brand. </w:t>
      </w:r>
      <w:r w:rsidRPr="00C40394">
        <w:rPr>
          <w:rFonts w:ascii="Calibri" w:hAnsi="Calibri" w:cs="Times New Roman"/>
        </w:rPr>
        <w:t>A cryptic, inadequate description of this balance sheet item in supplementary notes to the financial statements fails to establish its validity. (p. 94)</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b/>
          <w:bCs/>
        </w:rPr>
        <w:t xml:space="preserve">From an investor’s perspective this potential account inflation, and any </w:t>
      </w:r>
      <w:r w:rsidRPr="000375BD">
        <w:rPr>
          <w:rFonts w:asciiTheme="majorHAnsi" w:hAnsiTheme="majorHAnsi" w:cs="Times New Roman"/>
          <w:b/>
          <w:bCs/>
        </w:rPr>
        <w:t xml:space="preserve">inflation of </w:t>
      </w:r>
      <w:r w:rsidR="000375BD" w:rsidRPr="000375BD">
        <w:rPr>
          <w:rFonts w:asciiTheme="majorHAnsi" w:eastAsia="Times New Roman" w:hAnsiTheme="majorHAnsi" w:cs="Times New Roman"/>
          <w:b/>
          <w:bCs/>
        </w:rPr>
        <w:t>Goodwill or any other</w:t>
      </w:r>
      <w:r w:rsidR="000375BD">
        <w:rPr>
          <w:rFonts w:asciiTheme="majorHAnsi" w:eastAsia="Times New Roman" w:hAnsiTheme="majorHAnsi" w:cs="Times New Roman"/>
        </w:rPr>
        <w:t xml:space="preserve"> </w:t>
      </w:r>
      <w:r w:rsidRPr="000375BD">
        <w:rPr>
          <w:rFonts w:asciiTheme="majorHAnsi" w:hAnsiTheme="majorHAnsi" w:cs="Times New Roman"/>
          <w:b/>
          <w:bCs/>
        </w:rPr>
        <w:t>asset as well, is consequential, as it/they can materially</w:t>
      </w:r>
      <w:r w:rsidRPr="00C40394">
        <w:rPr>
          <w:rFonts w:ascii="Calibri" w:hAnsi="Calibri" w:cs="Times New Roman"/>
          <w:b/>
          <w:bCs/>
        </w:rPr>
        <w:t xml:space="preserve"> influence key metrics – e.g., earnings to book ratio, price to book ratio – that investors routinely use to determine a company’s soundness and to determine whether to purchase its stock.</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8.</w:t>
      </w:r>
      <w:r w:rsidRPr="00C40394">
        <w:rPr>
          <w:rFonts w:ascii="Times New Roman" w:hAnsi="Times New Roman" w:cs="Times New Roman"/>
          <w:sz w:val="14"/>
          <w:szCs w:val="14"/>
        </w:rPr>
        <w:t xml:space="preserve">      </w:t>
      </w:r>
      <w:r w:rsidRPr="00C40394">
        <w:rPr>
          <w:rFonts w:ascii="Calibri" w:hAnsi="Calibri" w:cs="Times New Roman"/>
          <w:b/>
          <w:bCs/>
        </w:rPr>
        <w:t xml:space="preserve">Also reported is Kaiwen Board approval of a 1.3 billion Yuan line of credit for “wholly-owned subsidiaries” from the Industrial and Commercial Bank of China Co., Ltd. Beijing, </w:t>
      </w:r>
      <w:proofErr w:type="spellStart"/>
      <w:r w:rsidRPr="00C40394">
        <w:rPr>
          <w:rFonts w:ascii="Calibri" w:hAnsi="Calibri" w:cs="Times New Roman"/>
          <w:b/>
          <w:bCs/>
        </w:rPr>
        <w:t>Haidian</w:t>
      </w:r>
      <w:proofErr w:type="spellEnd"/>
      <w:r w:rsidRPr="00C40394">
        <w:rPr>
          <w:rFonts w:ascii="Calibri" w:hAnsi="Calibri" w:cs="Times New Roman"/>
          <w:b/>
          <w:bCs/>
        </w:rPr>
        <w:t xml:space="preserve"> Sub-branch.</w:t>
      </w:r>
      <w:r w:rsidRPr="00C40394">
        <w:rPr>
          <w:rFonts w:ascii="Calibri" w:hAnsi="Calibri" w:cs="Times New Roman"/>
        </w:rPr>
        <w:t xml:space="preserve"> </w:t>
      </w:r>
      <w:r w:rsidRPr="00C40394">
        <w:rPr>
          <w:rFonts w:ascii="Calibri" w:hAnsi="Calibri" w:cs="Times New Roman"/>
          <w:b/>
          <w:bCs/>
        </w:rPr>
        <w:t xml:space="preserve">The subsidiaries identified are the Beijing </w:t>
      </w:r>
      <w:proofErr w:type="spellStart"/>
      <w:r w:rsidRPr="00C40394">
        <w:rPr>
          <w:rFonts w:ascii="Calibri" w:hAnsi="Calibri" w:cs="Times New Roman"/>
          <w:b/>
          <w:bCs/>
        </w:rPr>
        <w:t>Wenhua</w:t>
      </w:r>
      <w:proofErr w:type="spellEnd"/>
      <w:r w:rsidRPr="00C40394">
        <w:rPr>
          <w:rFonts w:ascii="Calibri" w:hAnsi="Calibri" w:cs="Times New Roman"/>
          <w:b/>
          <w:bCs/>
        </w:rPr>
        <w:t xml:space="preserve"> </w:t>
      </w:r>
      <w:proofErr w:type="spellStart"/>
      <w:r w:rsidRPr="00C40394">
        <w:rPr>
          <w:rFonts w:ascii="Calibri" w:hAnsi="Calibri" w:cs="Times New Roman"/>
          <w:b/>
          <w:bCs/>
        </w:rPr>
        <w:t>Xuexin</w:t>
      </w:r>
      <w:proofErr w:type="spellEnd"/>
      <w:r w:rsidRPr="00C40394">
        <w:rPr>
          <w:rFonts w:ascii="Calibri" w:hAnsi="Calibri" w:cs="Times New Roman"/>
          <w:b/>
          <w:bCs/>
        </w:rPr>
        <w:t xml:space="preserve"> Education Investment Co., Ltd., </w:t>
      </w:r>
      <w:r w:rsidRPr="00C40394">
        <w:rPr>
          <w:rFonts w:ascii="Calibri" w:hAnsi="Calibri" w:cs="Times New Roman"/>
        </w:rPr>
        <w:t xml:space="preserve">and the Beijing </w:t>
      </w:r>
      <w:proofErr w:type="spellStart"/>
      <w:proofErr w:type="gramStart"/>
      <w:r w:rsidRPr="00C40394">
        <w:rPr>
          <w:rFonts w:ascii="Calibri" w:hAnsi="Calibri" w:cs="Times New Roman"/>
        </w:rPr>
        <w:t>Wenkaixing</w:t>
      </w:r>
      <w:proofErr w:type="spellEnd"/>
      <w:r w:rsidRPr="00C40394">
        <w:rPr>
          <w:rFonts w:ascii="Calibri" w:hAnsi="Calibri" w:cs="Times New Roman"/>
        </w:rPr>
        <w:t xml:space="preserve">  Education</w:t>
      </w:r>
      <w:proofErr w:type="gramEnd"/>
      <w:r w:rsidRPr="00C40394">
        <w:rPr>
          <w:rFonts w:ascii="Calibri" w:hAnsi="Calibri" w:cs="Times New Roman"/>
        </w:rPr>
        <w:t xml:space="preserve"> Investment Co., Ltd. </w:t>
      </w:r>
      <w:r w:rsidRPr="00C40394">
        <w:rPr>
          <w:rFonts w:ascii="Calibri" w:hAnsi="Calibri" w:cs="Times New Roman"/>
          <w:b/>
          <w:bCs/>
        </w:rPr>
        <w:t xml:space="preserve">A “100% equity interest in the company” seems to be the collateral for this line of credit. </w:t>
      </w:r>
      <w:r w:rsidRPr="00C40394">
        <w:rPr>
          <w:rFonts w:ascii="Calibri" w:hAnsi="Calibri" w:cs="Times New Roman"/>
        </w:rPr>
        <w:t xml:space="preserve">What is meant by “the company” is not specified. (p. 29) </w:t>
      </w:r>
      <w:r w:rsidRPr="00C40394">
        <w:rPr>
          <w:rFonts w:ascii="Calibri" w:hAnsi="Calibri" w:cs="Times New Roman"/>
          <w:b/>
          <w:bCs/>
        </w:rPr>
        <w:t xml:space="preserve">The </w:t>
      </w:r>
      <w:proofErr w:type="spellStart"/>
      <w:r w:rsidRPr="00C40394">
        <w:rPr>
          <w:rFonts w:ascii="Calibri" w:hAnsi="Calibri" w:cs="Times New Roman"/>
          <w:b/>
          <w:bCs/>
        </w:rPr>
        <w:t>Wenhua</w:t>
      </w:r>
      <w:proofErr w:type="spellEnd"/>
      <w:r w:rsidRPr="00C40394">
        <w:rPr>
          <w:rFonts w:ascii="Calibri" w:hAnsi="Calibri" w:cs="Times New Roman"/>
          <w:b/>
          <w:bCs/>
        </w:rPr>
        <w:t xml:space="preserve"> </w:t>
      </w:r>
      <w:proofErr w:type="spellStart"/>
      <w:r w:rsidRPr="00C40394">
        <w:rPr>
          <w:rFonts w:ascii="Calibri" w:hAnsi="Calibri" w:cs="Times New Roman"/>
          <w:b/>
          <w:bCs/>
        </w:rPr>
        <w:t>Xuexin</w:t>
      </w:r>
      <w:proofErr w:type="spellEnd"/>
      <w:r w:rsidRPr="00C40394">
        <w:rPr>
          <w:rFonts w:ascii="Calibri" w:hAnsi="Calibri" w:cs="Times New Roman"/>
          <w:b/>
          <w:bCs/>
        </w:rPr>
        <w:t xml:space="preserve"> </w:t>
      </w:r>
      <w:proofErr w:type="gramStart"/>
      <w:r w:rsidRPr="00C40394">
        <w:rPr>
          <w:rFonts w:ascii="Calibri" w:hAnsi="Calibri" w:cs="Times New Roman"/>
          <w:b/>
          <w:bCs/>
        </w:rPr>
        <w:t>company</w:t>
      </w:r>
      <w:proofErr w:type="gramEnd"/>
      <w:r w:rsidRPr="00C40394">
        <w:rPr>
          <w:rFonts w:ascii="Calibri" w:hAnsi="Calibri" w:cs="Times New Roman"/>
          <w:b/>
          <w:bCs/>
        </w:rPr>
        <w:t>, one of the two subsidiaries mentioned here, signed the Acquisition and Sale Agreement with Rider – see below. (p. 30) So, it may be possible that someday the Bank of China could have a legal claim on Westminster’s property and assets.</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sz w:val="22"/>
          <w:szCs w:val="22"/>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b/>
          <w:bCs/>
        </w:rPr>
        <w:t xml:space="preserve">The precarious financial condition of Kaiwen requires a loan guarantor, another entity willing to pay this potential creditor if Kaiwen defaults on its borrowings. The guarantor for this line of credit is </w:t>
      </w:r>
      <w:proofErr w:type="spellStart"/>
      <w:r w:rsidRPr="00C40394">
        <w:rPr>
          <w:rFonts w:ascii="Calibri" w:hAnsi="Calibri" w:cs="Times New Roman"/>
          <w:b/>
          <w:bCs/>
        </w:rPr>
        <w:t>Badachu</w:t>
      </w:r>
      <w:proofErr w:type="spellEnd"/>
      <w:r w:rsidRPr="00C40394">
        <w:rPr>
          <w:rFonts w:ascii="Calibri" w:hAnsi="Calibri" w:cs="Times New Roman"/>
          <w:b/>
          <w:bCs/>
        </w:rPr>
        <w:t xml:space="preserve"> Holdings Group, Kaiwen’s controlling company, and the start and end date for this guarantee is 6/29/2018 and 6/29/2035. Currently, </w:t>
      </w:r>
      <w:proofErr w:type="spellStart"/>
      <w:r w:rsidRPr="00C40394">
        <w:rPr>
          <w:rFonts w:ascii="Calibri" w:hAnsi="Calibri" w:cs="Times New Roman"/>
          <w:b/>
          <w:bCs/>
        </w:rPr>
        <w:t>Badachu</w:t>
      </w:r>
      <w:proofErr w:type="spellEnd"/>
      <w:r w:rsidRPr="00C40394">
        <w:rPr>
          <w:rFonts w:ascii="Calibri" w:hAnsi="Calibri" w:cs="Times New Roman"/>
          <w:b/>
          <w:bCs/>
        </w:rPr>
        <w:t xml:space="preserve"> Holdings Group is also a guarantor for four other Kaiwen loans or lines of credit – two other </w:t>
      </w:r>
      <w:proofErr w:type="spellStart"/>
      <w:r w:rsidRPr="00C40394">
        <w:rPr>
          <w:rFonts w:ascii="Calibri" w:hAnsi="Calibri" w:cs="Times New Roman"/>
          <w:b/>
          <w:bCs/>
        </w:rPr>
        <w:t>Badachu</w:t>
      </w:r>
      <w:proofErr w:type="spellEnd"/>
      <w:r w:rsidRPr="00C40394">
        <w:rPr>
          <w:rFonts w:ascii="Calibri" w:hAnsi="Calibri" w:cs="Times New Roman"/>
          <w:b/>
          <w:bCs/>
        </w:rPr>
        <w:t xml:space="preserve"> guarantees ended earlier in 2018. The amounts and the ending dates for the four guarantees are: 100 million Yuan, 11/6/2018; 100 million Yuan, 11/6/2018; 200 million Yuan, 12/31/2018; 200 million Yuan, 3/26/2020. Another Kaiwen guarantor is Southern Heavy Industries and the amount of the guarantee and its ending date are 120 million Yuan and 4/11/2019, respectively. </w:t>
      </w:r>
      <w:r w:rsidRPr="00C40394">
        <w:rPr>
          <w:rFonts w:ascii="Calibri" w:hAnsi="Calibri" w:cs="Times New Roman"/>
        </w:rPr>
        <w:t>(p. 126)</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b/>
          <w:bCs/>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xml:space="preserve">9.  </w:t>
      </w:r>
      <w:r w:rsidRPr="00C40394">
        <w:rPr>
          <w:rFonts w:ascii="Calibri" w:hAnsi="Calibri" w:cs="Times New Roman"/>
          <w:b/>
          <w:bCs/>
        </w:rPr>
        <w:t>An important indicator for investors is the total return percentage</w:t>
      </w:r>
      <w:r w:rsidRPr="00C40394">
        <w:rPr>
          <w:rFonts w:ascii="Calibri" w:hAnsi="Calibri" w:cs="Times New Roman"/>
        </w:rPr>
        <w:t xml:space="preserve"> – calculated for all stocks – which shows the actual rate of return of an investment over a given period of time, and includes all interest and dividends received, capital gains (stock appreciation) and losses, and the distribution of additional shares. </w:t>
      </w:r>
      <w:r w:rsidRPr="00C40394">
        <w:rPr>
          <w:rFonts w:ascii="Calibri" w:hAnsi="Calibri" w:cs="Times New Roman"/>
          <w:b/>
          <w:bCs/>
        </w:rPr>
        <w:t>Morningstar reports that the one-year total return percentage for Kaiwen is -30.06% and the year-to-date percentage is -12.23%. In contrast, the similar figures for Morningstar China, an index of stocks that Morningstar tracks, are +8.48% and -1.84%, respectively (08/24/2018).</w:t>
      </w:r>
      <w:r w:rsidRPr="00C40394">
        <w:rPr>
          <w:rFonts w:ascii="Calibri" w:hAnsi="Calibri" w:cs="Times New Roman"/>
        </w:rPr>
        <w:t xml:space="preserve"> As we have indicated </w:t>
      </w:r>
      <w:hyperlink r:id="rId9" w:history="1">
        <w:r w:rsidRPr="00C40394">
          <w:rPr>
            <w:rFonts w:ascii="Calibri" w:hAnsi="Calibri" w:cs="Times New Roman"/>
            <w:color w:val="0000FF"/>
            <w:u w:val="single"/>
          </w:rPr>
          <w:t>before</w:t>
        </w:r>
      </w:hyperlink>
      <w:r w:rsidRPr="00C40394">
        <w:rPr>
          <w:rFonts w:ascii="Calibri" w:hAnsi="Calibri" w:cs="Times New Roman"/>
        </w:rPr>
        <w:t>, for an investor there clearly are many better places for her/his money in China t</w:t>
      </w:r>
      <w:r w:rsidR="000375BD">
        <w:rPr>
          <w:rFonts w:ascii="Calibri" w:hAnsi="Calibri" w:cs="Times New Roman"/>
        </w:rPr>
        <w:t>han</w:t>
      </w:r>
      <w:r w:rsidRPr="00C40394">
        <w:rPr>
          <w:rFonts w:ascii="Calibri" w:hAnsi="Calibri" w:cs="Times New Roman"/>
        </w:rPr>
        <w:t xml:space="preserve"> Kaiwen. </w:t>
      </w:r>
      <w:hyperlink r:id="rId10" w:history="1">
        <w:r w:rsidRPr="00C40394">
          <w:rPr>
            <w:rFonts w:ascii="Calibri" w:hAnsi="Calibri" w:cs="Times New Roman"/>
            <w:color w:val="0000FF"/>
            <w:u w:val="single"/>
          </w:rPr>
          <w:t>https://www.morningstar.com/stocks/XSHE/002659/quote.html</w:t>
        </w:r>
      </w:hyperlink>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10.</w:t>
      </w:r>
      <w:r w:rsidRPr="00C40394">
        <w:rPr>
          <w:rFonts w:ascii="Times New Roman" w:hAnsi="Times New Roman" w:cs="Times New Roman"/>
          <w:sz w:val="14"/>
          <w:szCs w:val="14"/>
        </w:rPr>
        <w:t xml:space="preserve">      </w:t>
      </w:r>
      <w:r w:rsidRPr="00C40394">
        <w:rPr>
          <w:rFonts w:ascii="Calibri" w:hAnsi="Calibri" w:cs="Times New Roman"/>
        </w:rPr>
        <w:t>In the report Kaiwen provides some quantitative figures to indicate the number, and thus the popularity of, private international schools in China. However, its presentation here is poorly organized and inadequate, and therefore neither illuminating nor persuasive. Kaiwen does say its offerings in China “are aimed at the middle class” and “high net worth families”, and its goal in relation to this market is to identify “profit points”. (p. 7-8, 10) In this market Kaiwen desires to “increase market share and brand influence”, and, “to do this quickly, (it) will use merger (with) and acquisition of quality educational resources” at home and abroad. (p. 9)</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sz w:val="22"/>
          <w:szCs w:val="22"/>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b/>
          <w:bCs/>
        </w:rPr>
        <w:t xml:space="preserve">In sections of the semi-annual report Kaiwen discusses at great length its emphasis on sports training in its schools and through sports camps. Its focus on the arts receives almost no attention or mention. </w:t>
      </w:r>
      <w:r w:rsidRPr="00C40394">
        <w:rPr>
          <w:rFonts w:ascii="Calibri" w:hAnsi="Calibri" w:cs="Times New Roman"/>
        </w:rPr>
        <w:t>Cited by Kaiwen as important in developing its business model focused on physical education and training are the reports, plans, and goals of several government organizations, including the State Council</w:t>
      </w:r>
      <w:r w:rsidR="000375BD" w:rsidRPr="00C40394">
        <w:rPr>
          <w:rFonts w:ascii="Calibri" w:hAnsi="Calibri" w:cs="Times New Roman"/>
        </w:rPr>
        <w:t>, the</w:t>
      </w:r>
      <w:r w:rsidRPr="00C40394">
        <w:rPr>
          <w:rFonts w:ascii="Calibri" w:hAnsi="Calibri" w:cs="Times New Roman"/>
        </w:rPr>
        <w:t xml:space="preserve"> Beijing Municipal People’s Government, and the Ministry of Education. (p. 7-8)</w:t>
      </w:r>
      <w:r w:rsidRPr="00C40394">
        <w:rPr>
          <w:rFonts w:ascii="Calibri" w:hAnsi="Calibri" w:cs="Times New Roman"/>
          <w:sz w:val="22"/>
          <w:szCs w:val="22"/>
        </w:rPr>
        <w:t xml:space="preserve">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xml:space="preserve">The report mentions the June 21, 2018 “Acquisition and Sale Agreement” signed by </w:t>
      </w:r>
      <w:proofErr w:type="spellStart"/>
      <w:r w:rsidRPr="00C40394">
        <w:rPr>
          <w:rFonts w:ascii="Calibri" w:hAnsi="Calibri" w:cs="Times New Roman"/>
        </w:rPr>
        <w:t>Wenhua</w:t>
      </w:r>
      <w:proofErr w:type="spellEnd"/>
      <w:r w:rsidRPr="00C40394">
        <w:rPr>
          <w:rFonts w:ascii="Calibri" w:hAnsi="Calibri" w:cs="Times New Roman"/>
        </w:rPr>
        <w:t xml:space="preserve"> </w:t>
      </w:r>
      <w:proofErr w:type="spellStart"/>
      <w:r w:rsidRPr="00C40394">
        <w:rPr>
          <w:rFonts w:ascii="Calibri" w:hAnsi="Calibri" w:cs="Times New Roman"/>
        </w:rPr>
        <w:t>Xuexin</w:t>
      </w:r>
      <w:proofErr w:type="spellEnd"/>
      <w:r w:rsidRPr="00C40394">
        <w:rPr>
          <w:rFonts w:ascii="Calibri" w:hAnsi="Calibri" w:cs="Times New Roman"/>
        </w:rPr>
        <w:t xml:space="preserve">, “a wholly-owned subsidiary of (Kaiwen Education), and Rider University”.  Another’s translation from the Chinese provides the following title for this section: “Acquiring overseas famous schools to build a high-end art education platform”. Here, </w:t>
      </w:r>
      <w:r w:rsidRPr="00C40394">
        <w:rPr>
          <w:rFonts w:ascii="Calibri" w:hAnsi="Calibri" w:cs="Times New Roman"/>
          <w:b/>
          <w:bCs/>
        </w:rPr>
        <w:t>the acquisition of Westminster is described as “the beginning and key of the global layout of the business”, and indicates the acquisition will play “an important role in enhancing the company’s ability to enhance (sic) cross-cultural operations, enhance brand value and competitiveness”.</w:t>
      </w:r>
      <w:r w:rsidRPr="00C40394">
        <w:rPr>
          <w:rFonts w:ascii="Calibri" w:hAnsi="Calibri" w:cs="Times New Roman"/>
        </w:rPr>
        <w:t xml:space="preserve"> (p. 12)</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xml:space="preserve">Kaiwen also reports the following: “Although the market demand in the international education industry is gradually increasing, the number of competitors is also increasing”. (p. 10) </w:t>
      </w:r>
      <w:r w:rsidRPr="00C40394">
        <w:rPr>
          <w:rFonts w:ascii="Calibri" w:hAnsi="Calibri" w:cs="Times New Roman"/>
          <w:b/>
          <w:bCs/>
        </w:rPr>
        <w:t>Of concern here, of course, is the word, “gradually”.</w:t>
      </w:r>
      <w:r w:rsidRPr="00C40394">
        <w:rPr>
          <w:rFonts w:ascii="Calibri" w:hAnsi="Calibri" w:cs="Times New Roman"/>
        </w:rPr>
        <w:t xml:space="preserve"> Kaiwen’s precarious financial situation requires strong market demand in the present, especially in relation to greater competition.</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11.</w:t>
      </w:r>
      <w:r w:rsidRPr="00C40394">
        <w:rPr>
          <w:rFonts w:ascii="Times New Roman" w:hAnsi="Times New Roman" w:cs="Times New Roman"/>
          <w:sz w:val="14"/>
          <w:szCs w:val="14"/>
        </w:rPr>
        <w:t xml:space="preserve">    </w:t>
      </w:r>
      <w:r w:rsidRPr="00C40394">
        <w:rPr>
          <w:rFonts w:ascii="Calibri" w:hAnsi="Calibri" w:cs="Times New Roman"/>
        </w:rPr>
        <w:t xml:space="preserve">In its semi-annual report Kaiwen is required to identify risks faced by the company including market competition risk, and to identify countermeasures it will take. A brief attempt to describe these risks using statistics from various sources quickly dissolves into incoherence. Kaiwen turns to a very familiar approach, utilizing </w:t>
      </w:r>
      <w:proofErr w:type="spellStart"/>
      <w:r w:rsidRPr="00C40394">
        <w:rPr>
          <w:rFonts w:ascii="Calibri" w:hAnsi="Calibri" w:cs="Times New Roman"/>
        </w:rPr>
        <w:t>blovation</w:t>
      </w:r>
      <w:proofErr w:type="spellEnd"/>
      <w:r w:rsidRPr="00C40394">
        <w:rPr>
          <w:rFonts w:ascii="Calibri" w:hAnsi="Calibri" w:cs="Times New Roman"/>
        </w:rPr>
        <w:t xml:space="preserve"> and hyperbole.  Here, for example, we learn that “the company’s international schools are the first-echelon in the industry” and “(its) teaching system…has a strong competitive advantage in the international education market”. (p. 19-20)</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5B4BEF" w:rsidRPr="005B4BEF" w:rsidRDefault="00C40394" w:rsidP="005B4BEF">
      <w:pPr>
        <w:rPr>
          <w:rFonts w:ascii="Times" w:eastAsia="Times New Roman" w:hAnsi="Times" w:cs="Times New Roman"/>
          <w:sz w:val="20"/>
          <w:szCs w:val="20"/>
        </w:rPr>
      </w:pPr>
      <w:r w:rsidRPr="00C40394">
        <w:rPr>
          <w:rFonts w:ascii="Calibri" w:hAnsi="Calibri" w:cs="Times New Roman"/>
        </w:rPr>
        <w:t>12.</w:t>
      </w:r>
      <w:r w:rsidRPr="00C40394">
        <w:rPr>
          <w:rFonts w:ascii="Times New Roman" w:hAnsi="Times New Roman" w:cs="Times New Roman"/>
          <w:sz w:val="14"/>
          <w:szCs w:val="14"/>
        </w:rPr>
        <w:t> </w:t>
      </w:r>
      <w:r w:rsidRPr="00C40394">
        <w:rPr>
          <w:rFonts w:ascii="Times New Roman" w:hAnsi="Times New Roman" w:cs="Times New Roman"/>
          <w:b/>
          <w:bCs/>
          <w:sz w:val="14"/>
          <w:szCs w:val="14"/>
        </w:rPr>
        <w:t xml:space="preserve">   </w:t>
      </w:r>
      <w:r w:rsidRPr="00C40394">
        <w:rPr>
          <w:rFonts w:ascii="Calibri" w:hAnsi="Calibri" w:cs="Times New Roman"/>
          <w:b/>
          <w:bCs/>
        </w:rPr>
        <w:t>Reported in the semi-annual document is the recent approval by Kaiwen’s Board of a new, non-public issuance of “no more than 20%” of its outstanding shares, or “99 million shares", to raise 1.0 billion Yuan.</w:t>
      </w:r>
      <w:r w:rsidRPr="00C40394">
        <w:rPr>
          <w:rFonts w:ascii="Calibri" w:hAnsi="Calibri" w:cs="Times New Roman"/>
        </w:rPr>
        <w:t xml:space="preserve"> </w:t>
      </w:r>
      <w:r w:rsidRPr="00C40394">
        <w:rPr>
          <w:rFonts w:ascii="Calibri" w:hAnsi="Calibri" w:cs="Times New Roman"/>
          <w:b/>
          <w:bCs/>
        </w:rPr>
        <w:t>The proceeds “will be used for the ‘Adolescent High Quality Education Platform Project’”. It is assumed these funds will be used to improve Kaiwen’s K-12 programs in the middle and upper grades.</w:t>
      </w:r>
      <w:r w:rsidRPr="00C40394">
        <w:rPr>
          <w:rFonts w:ascii="Calibri" w:hAnsi="Calibri" w:cs="Times New Roman"/>
        </w:rPr>
        <w:t xml:space="preserve"> No additional description of this project is provided. (p. 27) </w:t>
      </w:r>
    </w:p>
    <w:p w:rsidR="005B4BEF" w:rsidRPr="005B4BEF" w:rsidRDefault="005B4BEF" w:rsidP="005B4BEF">
      <w:pPr>
        <w:rPr>
          <w:rFonts w:ascii="Times" w:eastAsia="Times New Roman" w:hAnsi="Times" w:cs="Times New Roman"/>
        </w:rPr>
      </w:pPr>
      <w:r w:rsidRPr="005B4BEF">
        <w:rPr>
          <w:rFonts w:ascii="Times" w:eastAsia="Times New Roman" w:hAnsi="Times" w:cs="Times New Roman"/>
          <w:b/>
          <w:bCs/>
        </w:rPr>
        <w:t>The intention of a recent communication from the administration was to suggest that the proceeds from this offering would be available to meet Westminster needs.</w:t>
      </w:r>
      <w:r w:rsidRPr="005B4BEF">
        <w:rPr>
          <w:rFonts w:ascii="Times" w:eastAsia="Times New Roman" w:hAnsi="Times" w:cs="Times New Roman"/>
        </w:rPr>
        <w:t xml:space="preserve"> </w:t>
      </w:r>
      <w:r w:rsidRPr="005B4BEF">
        <w:rPr>
          <w:rFonts w:ascii="Times" w:eastAsia="Times New Roman" w:hAnsi="Times" w:cs="Times New Roman"/>
          <w:b/>
          <w:bCs/>
        </w:rPr>
        <w:t>That does not seem to be the case at all.</w:t>
      </w:r>
      <w:r w:rsidRPr="005B4BEF">
        <w:rPr>
          <w:rFonts w:ascii="Times" w:eastAsia="Times New Roman" w:hAnsi="Times" w:cs="Times New Roman"/>
        </w:rPr>
        <w:t xml:space="preserve"> (Memorandum to the Rider University community from the Westminster Choir College Acquisition Corporation, August 8, 2018) </w:t>
      </w:r>
    </w:p>
    <w:p w:rsidR="00C40394" w:rsidRPr="00C40394" w:rsidRDefault="00C40394" w:rsidP="00C40394">
      <w:pPr>
        <w:spacing w:line="276" w:lineRule="auto"/>
        <w:ind w:left="720"/>
        <w:rPr>
          <w:rFonts w:ascii="Calibri" w:hAnsi="Calibri" w:cs="Times New Roman"/>
          <w:sz w:val="22"/>
          <w:szCs w:val="22"/>
        </w:rPr>
      </w:pP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xml:space="preserve">13.  </w:t>
      </w:r>
      <w:r w:rsidRPr="00C40394">
        <w:rPr>
          <w:rFonts w:ascii="Calibri" w:hAnsi="Calibri" w:cs="Times New Roman"/>
          <w:b/>
          <w:bCs/>
        </w:rPr>
        <w:t xml:space="preserve">The </w:t>
      </w:r>
      <w:proofErr w:type="spellStart"/>
      <w:r w:rsidRPr="00C40394">
        <w:rPr>
          <w:rFonts w:ascii="Calibri" w:hAnsi="Calibri" w:cs="Times New Roman"/>
          <w:b/>
          <w:bCs/>
        </w:rPr>
        <w:t>Badachu</w:t>
      </w:r>
      <w:proofErr w:type="spellEnd"/>
      <w:r w:rsidRPr="00C40394">
        <w:rPr>
          <w:rFonts w:ascii="Calibri" w:hAnsi="Calibri" w:cs="Times New Roman"/>
          <w:b/>
          <w:bCs/>
        </w:rPr>
        <w:t xml:space="preserve"> Holding Group Co., Ltd., is the controlling shareholder of Kaiwen Education, with 32.6% of Kaiwen’s shares. The State-owned Assets Supervision and Administration Division Commission of the </w:t>
      </w:r>
      <w:proofErr w:type="spellStart"/>
      <w:r w:rsidRPr="00C40394">
        <w:rPr>
          <w:rFonts w:ascii="Calibri" w:hAnsi="Calibri" w:cs="Times New Roman"/>
          <w:b/>
          <w:bCs/>
        </w:rPr>
        <w:t>Haidian</w:t>
      </w:r>
      <w:proofErr w:type="spellEnd"/>
      <w:r w:rsidRPr="00C40394">
        <w:rPr>
          <w:rFonts w:ascii="Calibri" w:hAnsi="Calibri" w:cs="Times New Roman"/>
          <w:b/>
          <w:bCs/>
        </w:rPr>
        <w:t xml:space="preserve"> People’s Government of Beijing holds 51% of the equity of the </w:t>
      </w:r>
      <w:proofErr w:type="spellStart"/>
      <w:r w:rsidRPr="00C40394">
        <w:rPr>
          <w:rFonts w:ascii="Calibri" w:hAnsi="Calibri" w:cs="Times New Roman"/>
          <w:b/>
          <w:bCs/>
        </w:rPr>
        <w:t>Badachu</w:t>
      </w:r>
      <w:proofErr w:type="spellEnd"/>
      <w:r w:rsidRPr="00C40394">
        <w:rPr>
          <w:rFonts w:ascii="Calibri" w:hAnsi="Calibri" w:cs="Times New Roman"/>
          <w:b/>
          <w:bCs/>
        </w:rPr>
        <w:t xml:space="preserve"> Holdings Group. (p. 123-124)</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14.</w:t>
      </w:r>
      <w:r w:rsidRPr="00C40394">
        <w:rPr>
          <w:rFonts w:ascii="Times New Roman" w:hAnsi="Times New Roman" w:cs="Times New Roman"/>
          <w:sz w:val="14"/>
          <w:szCs w:val="14"/>
        </w:rPr>
        <w:t xml:space="preserve">    </w:t>
      </w:r>
      <w:r w:rsidRPr="00C40394">
        <w:rPr>
          <w:rFonts w:ascii="Calibri" w:hAnsi="Calibri" w:cs="Times New Roman"/>
        </w:rPr>
        <w:t xml:space="preserve">Under the section title in the report, “Acquisition and disposal of subsidiaries during the reporting period”, the following, which is 100% verbatim, is reported. These entities may have relevance in the future for Westminster: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b/>
          <w:bCs/>
        </w:rPr>
        <w:t>“Kevin Education US Co., Ltd. New establishment. No actual operation.</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b/>
          <w:bCs/>
        </w:rPr>
        <w:t>Princeton Westminster International LLC has not been established.</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Kevin School, Chaoyang District, Beijing, newly established is mainly engaged in academic education.</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xml:space="preserve">Hunan Kaiwen </w:t>
      </w:r>
      <w:proofErr w:type="spellStart"/>
      <w:r w:rsidRPr="00C40394">
        <w:rPr>
          <w:rFonts w:ascii="Calibri" w:hAnsi="Calibri" w:cs="Times New Roman"/>
        </w:rPr>
        <w:t>Xingyi</w:t>
      </w:r>
      <w:proofErr w:type="spellEnd"/>
      <w:r w:rsidRPr="00C40394">
        <w:rPr>
          <w:rFonts w:ascii="Calibri" w:hAnsi="Calibri" w:cs="Times New Roman"/>
        </w:rPr>
        <w:t xml:space="preserve"> Education Technology Co., Ltd. New establishment. No actual operation.”  (p. 19)</w:t>
      </w:r>
    </w:p>
    <w:p w:rsidR="00C40394" w:rsidRPr="00C40394" w:rsidRDefault="00C40394" w:rsidP="00C40394">
      <w:pPr>
        <w:spacing w:line="276" w:lineRule="auto"/>
        <w:ind w:left="720"/>
        <w:rPr>
          <w:rFonts w:ascii="Calibri" w:hAnsi="Calibri" w:cs="Times New Roman"/>
          <w:sz w:val="22"/>
          <w:szCs w:val="22"/>
        </w:rPr>
      </w:pPr>
      <w:r w:rsidRPr="00C40394">
        <w:rPr>
          <w:rFonts w:ascii="Calibri" w:hAnsi="Calibri" w:cs="Times New Roman"/>
        </w:rPr>
        <w:t> </w:t>
      </w:r>
    </w:p>
    <w:p w:rsidR="00C40394" w:rsidRDefault="00C40394" w:rsidP="00C40394">
      <w:pPr>
        <w:spacing w:after="200" w:line="276" w:lineRule="auto"/>
        <w:ind w:left="720"/>
        <w:rPr>
          <w:rFonts w:ascii="Calibri" w:hAnsi="Calibri" w:cs="Times New Roman"/>
        </w:rPr>
      </w:pPr>
      <w:r>
        <w:rPr>
          <w:rFonts w:ascii="Calibri" w:hAnsi="Calibri" w:cs="Times New Roman"/>
        </w:rPr>
        <w:t>O</w:t>
      </w:r>
      <w:r w:rsidRPr="00C40394">
        <w:rPr>
          <w:rFonts w:ascii="Calibri" w:hAnsi="Calibri" w:cs="Times New Roman"/>
        </w:rPr>
        <w:t>n page 30, the following appears: “</w:t>
      </w:r>
      <w:proofErr w:type="spellStart"/>
      <w:r w:rsidRPr="00C40394">
        <w:rPr>
          <w:rFonts w:ascii="Calibri" w:hAnsi="Calibri" w:cs="Times New Roman"/>
        </w:rPr>
        <w:t>Huaxue</w:t>
      </w:r>
      <w:proofErr w:type="spellEnd"/>
      <w:r w:rsidRPr="00C40394">
        <w:rPr>
          <w:rFonts w:ascii="Calibri" w:hAnsi="Calibri" w:cs="Times New Roman"/>
        </w:rPr>
        <w:t xml:space="preserve"> intends to set up a subsidiary, Princeton Westminster International Co., Ltd., in New Jersey, USA, and acquire the company’s subsidiary of Reed (Rider) University…Westminster Choir College, Westminster Conservatory of Music, and Westminster Continuing Education…The transaction price is 40 million US dollars.”  </w:t>
      </w:r>
      <w:r w:rsidR="00002431">
        <w:rPr>
          <w:rFonts w:ascii="Calibri" w:hAnsi="Calibri" w:cs="Times New Roman"/>
        </w:rPr>
        <w:t xml:space="preserve">We </w:t>
      </w:r>
      <w:r w:rsidRPr="00C40394">
        <w:rPr>
          <w:rFonts w:ascii="Calibri" w:hAnsi="Calibri" w:cs="Times New Roman"/>
        </w:rPr>
        <w:t>find no other or fuller reference made to “</w:t>
      </w:r>
      <w:proofErr w:type="spellStart"/>
      <w:r w:rsidRPr="00C40394">
        <w:rPr>
          <w:rFonts w:ascii="Calibri" w:hAnsi="Calibri" w:cs="Times New Roman"/>
        </w:rPr>
        <w:t>Huaxue</w:t>
      </w:r>
      <w:proofErr w:type="spellEnd"/>
      <w:r w:rsidRPr="00C40394">
        <w:rPr>
          <w:rFonts w:ascii="Calibri" w:hAnsi="Calibri" w:cs="Times New Roman"/>
        </w:rPr>
        <w:t>” in the report.</w:t>
      </w:r>
    </w:p>
    <w:p w:rsidR="00002431" w:rsidRDefault="00002431" w:rsidP="00C40394">
      <w:pPr>
        <w:spacing w:after="200" w:line="276" w:lineRule="auto"/>
        <w:ind w:left="720"/>
        <w:rPr>
          <w:rFonts w:ascii="Calibri" w:hAnsi="Calibri" w:cs="Times New Roman"/>
        </w:rPr>
      </w:pPr>
    </w:p>
    <w:p w:rsidR="00002431" w:rsidRPr="00C40394" w:rsidRDefault="00002431" w:rsidP="00C40394">
      <w:pPr>
        <w:spacing w:after="200" w:line="276" w:lineRule="auto"/>
        <w:ind w:left="720"/>
        <w:rPr>
          <w:rFonts w:ascii="Calibri" w:hAnsi="Calibri" w:cs="Times New Roman"/>
          <w:sz w:val="22"/>
          <w:szCs w:val="22"/>
        </w:rPr>
      </w:pPr>
      <w:r>
        <w:rPr>
          <w:rFonts w:eastAsia="Times New Roman" w:cs="Times New Roman"/>
        </w:rPr>
        <w:t>Rider AAUP Westminster Advocacy Team</w:t>
      </w:r>
    </w:p>
    <w:bookmarkStart w:id="0" w:name="_MON_1471421633"/>
    <w:bookmarkEnd w:id="0"/>
    <w:p w:rsidR="00F128FD" w:rsidRDefault="00E048C0">
      <w:r>
        <w:object w:dxaOrig="22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85pt;height:55.9pt" o:ole="">
            <v:imagedata r:id="rId11" o:title=""/>
          </v:shape>
          <o:OLEObject Type="Embed" ProgID="Word.Document.12" ShapeID="_x0000_i1025" DrawAspect="Icon" ObjectID="_1597652503" r:id="rId12">
            <o:FieldCodes>\s</o:FieldCodes>
          </o:OLEObject>
        </w:object>
      </w:r>
    </w:p>
    <w:sectPr w:rsidR="00F128FD" w:rsidSect="00872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94"/>
    <w:rsid w:val="00002431"/>
    <w:rsid w:val="000375BD"/>
    <w:rsid w:val="00362739"/>
    <w:rsid w:val="004341E9"/>
    <w:rsid w:val="0044614F"/>
    <w:rsid w:val="005B4BEF"/>
    <w:rsid w:val="00872495"/>
    <w:rsid w:val="0087440B"/>
    <w:rsid w:val="00C40394"/>
    <w:rsid w:val="00DA7017"/>
    <w:rsid w:val="00E048C0"/>
    <w:rsid w:val="00F1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3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904">
      <w:bodyDiv w:val="1"/>
      <w:marLeft w:val="0"/>
      <w:marRight w:val="0"/>
      <w:marTop w:val="0"/>
      <w:marBottom w:val="0"/>
      <w:divBdr>
        <w:top w:val="none" w:sz="0" w:space="0" w:color="auto"/>
        <w:left w:val="none" w:sz="0" w:space="0" w:color="auto"/>
        <w:bottom w:val="none" w:sz="0" w:space="0" w:color="auto"/>
        <w:right w:val="none" w:sz="0" w:space="0" w:color="auto"/>
      </w:divBdr>
      <w:divsChild>
        <w:div w:id="1369143942">
          <w:marLeft w:val="0"/>
          <w:marRight w:val="0"/>
          <w:marTop w:val="0"/>
          <w:marBottom w:val="0"/>
          <w:divBdr>
            <w:top w:val="none" w:sz="0" w:space="0" w:color="auto"/>
            <w:left w:val="none" w:sz="0" w:space="0" w:color="auto"/>
            <w:bottom w:val="none" w:sz="0" w:space="0" w:color="auto"/>
            <w:right w:val="none" w:sz="0" w:space="0" w:color="auto"/>
          </w:divBdr>
        </w:div>
        <w:div w:id="1076249615">
          <w:marLeft w:val="0"/>
          <w:marRight w:val="0"/>
          <w:marTop w:val="0"/>
          <w:marBottom w:val="0"/>
          <w:divBdr>
            <w:top w:val="none" w:sz="0" w:space="0" w:color="auto"/>
            <w:left w:val="none" w:sz="0" w:space="0" w:color="auto"/>
            <w:bottom w:val="none" w:sz="0" w:space="0" w:color="auto"/>
            <w:right w:val="none" w:sz="0" w:space="0" w:color="auto"/>
          </w:divBdr>
          <w:divsChild>
            <w:div w:id="2846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otes.wsj.com/CN/XSHE/002659/financi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rons.com/quote/stock/cn/xshe/002659/financials/" TargetMode="External"/><Relationship Id="rId12" Type="http://schemas.openxmlformats.org/officeDocument/2006/relationships/package" Target="embeddings/Microsoft_Word_Document1.doc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nance04.com/sbdm/stock/share,disc,2018-08-08,002659,0000000000000ltho6.shtml" TargetMode="External"/><Relationship Id="rId11" Type="http://schemas.openxmlformats.org/officeDocument/2006/relationships/image" Target="media/image1.emf"/><Relationship Id="rId5" Type="http://schemas.openxmlformats.org/officeDocument/2006/relationships/hyperlink" Target="https://www.rideraaup.net/claims-v-reality.html" TargetMode="External"/><Relationship Id="rId10" Type="http://schemas.openxmlformats.org/officeDocument/2006/relationships/hyperlink" Target="https://www.morningstar.com/stocks/XSHE/002659/quote.html" TargetMode="External"/><Relationship Id="rId4" Type="http://schemas.openxmlformats.org/officeDocument/2006/relationships/webSettings" Target="webSettings.xml"/><Relationship Id="rId9" Type="http://schemas.openxmlformats.org/officeDocument/2006/relationships/hyperlink" Target="https://www.rideraaup.net/uploads/2/4/7/9/24793560/a_failure_of_due_diligence_a_white_paper_prepared_by_rider_aau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Rider University</dc:creator>
  <cp:lastModifiedBy>David Lerner</cp:lastModifiedBy>
  <cp:revision>1</cp:revision>
  <dcterms:created xsi:type="dcterms:W3CDTF">2018-09-05T15:35:00Z</dcterms:created>
  <dcterms:modified xsi:type="dcterms:W3CDTF">2018-09-05T15:35:00Z</dcterms:modified>
</cp:coreProperties>
</file>